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62E20" w14:textId="0691CCB3" w:rsidR="003D45A9" w:rsidRDefault="003D45A9" w:rsidP="000F485C">
      <w:pPr>
        <w:spacing w:line="240" w:lineRule="auto"/>
        <w:contextualSpacing/>
        <w:rPr>
          <w:b/>
          <w:bCs/>
        </w:rPr>
      </w:pPr>
      <w:r w:rsidRPr="003D45A9">
        <w:rPr>
          <w:b/>
          <w:bCs/>
          <w:noProof/>
        </w:rPr>
        <mc:AlternateContent>
          <mc:Choice Requires="wps">
            <w:drawing>
              <wp:anchor distT="45720" distB="45720" distL="114300" distR="114300" simplePos="0" relativeHeight="251658240" behindDoc="0" locked="0" layoutInCell="1" allowOverlap="1" wp14:anchorId="3E042855" wp14:editId="79112718">
                <wp:simplePos x="0" y="0"/>
                <wp:positionH relativeFrom="margin">
                  <wp:align>right</wp:align>
                </wp:positionH>
                <wp:positionV relativeFrom="paragraph">
                  <wp:posOffset>327025</wp:posOffset>
                </wp:positionV>
                <wp:extent cx="5737860" cy="1760220"/>
                <wp:effectExtent l="0" t="0" r="1524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760561"/>
                        </a:xfrm>
                        <a:prstGeom prst="rect">
                          <a:avLst/>
                        </a:prstGeom>
                        <a:solidFill>
                          <a:srgbClr val="FFFFFF"/>
                        </a:solidFill>
                        <a:ln w="9525">
                          <a:solidFill>
                            <a:srgbClr val="000000"/>
                          </a:solidFill>
                          <a:miter lim="800000"/>
                          <a:headEnd/>
                          <a:tailEnd/>
                        </a:ln>
                      </wps:spPr>
                      <wps:txbx>
                        <w:txbxContent>
                          <w:p w14:paraId="75D21545" w14:textId="247A0ECE" w:rsidR="003D45A9" w:rsidRPr="003D45A9" w:rsidRDefault="003D45A9">
                            <w:pPr>
                              <w:rPr>
                                <w:b/>
                                <w:bCs/>
                              </w:rPr>
                            </w:pPr>
                            <w:r w:rsidRPr="003D45A9">
                              <w:rPr>
                                <w:b/>
                                <w:bCs/>
                              </w:rPr>
                              <w:t>Leerpunten</w:t>
                            </w:r>
                          </w:p>
                          <w:p w14:paraId="40628D13" w14:textId="021DD255" w:rsidR="00F111DD" w:rsidRDefault="00F111DD" w:rsidP="00F111DD">
                            <w:pPr>
                              <w:pStyle w:val="Lijstalinea"/>
                              <w:numPr>
                                <w:ilvl w:val="0"/>
                                <w:numId w:val="7"/>
                              </w:numPr>
                            </w:pPr>
                            <w:r>
                              <w:t xml:space="preserve">Wanneer anamnese </w:t>
                            </w:r>
                            <w:r w:rsidR="00E9024A">
                              <w:t xml:space="preserve">en lichamelijk onderzoek zorgvuldig </w:t>
                            </w:r>
                            <w:r w:rsidR="007D6463">
                              <w:t xml:space="preserve">en </w:t>
                            </w:r>
                            <w:proofErr w:type="gramStart"/>
                            <w:r w:rsidR="00E9024A">
                              <w:t>conform</w:t>
                            </w:r>
                            <w:proofErr w:type="gramEnd"/>
                            <w:r w:rsidR="00E9024A">
                              <w:t xml:space="preserve"> de NHG-richtlijn hebben plaatsgevonden</w:t>
                            </w:r>
                            <w:r>
                              <w:t xml:space="preserve">, kan de huisarts niet verweten worden dat er uiteindelijk toch een ernstiger beloop is dan verwacht had kunnen worden bij de gestelde waarschijnlijkheidsdiagnose. </w:t>
                            </w:r>
                          </w:p>
                          <w:p w14:paraId="2755ED9C" w14:textId="37D324C7" w:rsidR="003D45A9" w:rsidRDefault="00F111DD" w:rsidP="00490D56">
                            <w:pPr>
                              <w:pStyle w:val="Lijstalinea"/>
                              <w:numPr>
                                <w:ilvl w:val="0"/>
                                <w:numId w:val="7"/>
                              </w:numPr>
                            </w:pPr>
                            <w:r>
                              <w:t>Wel i</w:t>
                            </w:r>
                            <w:r w:rsidR="00F70CD0">
                              <w:t>s</w:t>
                            </w:r>
                            <w:r>
                              <w:t xml:space="preserve"> het</w:t>
                            </w:r>
                            <w:r w:rsidR="00F70CD0">
                              <w:t xml:space="preserve"> belangrijk om een goed vangnetadvies te geven</w:t>
                            </w:r>
                            <w:r w:rsidR="002253F5">
                              <w:t>. In het geval van</w:t>
                            </w:r>
                            <w:r w:rsidR="00814645">
                              <w:t xml:space="preserve"> vrij acuut begonnen</w:t>
                            </w:r>
                            <w:r w:rsidR="002253F5">
                              <w:t xml:space="preserve"> buikpijn bij kinderen is het te adviseren om laagdrempelig </w:t>
                            </w:r>
                            <w:r w:rsidR="005F2755">
                              <w:t>de volgende dag een herbeoordeling te laten plaatsvinden</w:t>
                            </w:r>
                            <w:r w:rsidR="00F656E2">
                              <w:t>.</w:t>
                            </w:r>
                          </w:p>
                          <w:p w14:paraId="57EAB154" w14:textId="77777777" w:rsidR="00F111DD" w:rsidRDefault="00F111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42855" id="_x0000_t202" coordsize="21600,21600" o:spt="202" path="m,l,21600r21600,l21600,xe">
                <v:stroke joinstyle="miter"/>
                <v:path gradientshapeok="t" o:connecttype="rect"/>
              </v:shapetype>
              <v:shape id="Tekstvak 2" o:spid="_x0000_s1026" type="#_x0000_t202" style="position:absolute;margin-left:400.6pt;margin-top:25.75pt;width:451.8pt;height:138.6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">
                <v:textbox>
                  <w:txbxContent>
                    <w:p w14:paraId="75D21545" w14:textId="247A0ECE" w:rsidR="003D45A9" w:rsidRPr="003D45A9" w:rsidRDefault="003D45A9">
                      <w:pPr>
                        <w:rPr>
                          <w:b/>
                          <w:bCs/>
                        </w:rPr>
                      </w:pPr>
                      <w:r w:rsidRPr="003D45A9">
                        <w:rPr>
                          <w:b/>
                          <w:bCs/>
                        </w:rPr>
                        <w:t>Leerpunten</w:t>
                      </w:r>
                    </w:p>
                    <w:p w14:paraId="40628D13" w14:textId="021DD255" w:rsidR="00F111DD" w:rsidRDefault="00F111DD" w:rsidP="00F111DD">
                      <w:pPr>
                        <w:pStyle w:val="Lijstalinea"/>
                        <w:numPr>
                          <w:ilvl w:val="0"/>
                          <w:numId w:val="7"/>
                        </w:numPr>
                      </w:pPr>
                      <w:r>
                        <w:t xml:space="preserve">Wanneer anamnese </w:t>
                      </w:r>
                      <w:r w:rsidR="00E9024A">
                        <w:t xml:space="preserve">en lichamelijk onderzoek zorgvuldig </w:t>
                      </w:r>
                      <w:r w:rsidR="007D6463">
                        <w:t xml:space="preserve">en </w:t>
                      </w:r>
                      <w:r w:rsidR="00E9024A">
                        <w:t>conform de NHG-richtlijn hebben plaatsgevonden</w:t>
                      </w:r>
                      <w:r>
                        <w:t xml:space="preserve">, kan de huisarts niet verweten worden dat er uiteindelijk toch een ernstiger beloop is dan verwacht had kunnen worden bij de gestelde waarschijnlijkheidsdiagnose. </w:t>
                      </w:r>
                    </w:p>
                    <w:p w14:paraId="2755ED9C" w14:textId="37D324C7" w:rsidR="003D45A9" w:rsidRDefault="00F111DD" w:rsidP="00490D56">
                      <w:pPr>
                        <w:pStyle w:val="Lijstalinea"/>
                        <w:numPr>
                          <w:ilvl w:val="0"/>
                          <w:numId w:val="7"/>
                        </w:numPr>
                      </w:pPr>
                      <w:r>
                        <w:t>Wel i</w:t>
                      </w:r>
                      <w:r w:rsidR="00F70CD0">
                        <w:t>s</w:t>
                      </w:r>
                      <w:r>
                        <w:t xml:space="preserve"> het</w:t>
                      </w:r>
                      <w:r w:rsidR="00F70CD0">
                        <w:t xml:space="preserve"> belangrijk om een goed vangnetadvies te geven</w:t>
                      </w:r>
                      <w:r w:rsidR="002253F5">
                        <w:t>. In het geval van</w:t>
                      </w:r>
                      <w:r w:rsidR="00814645">
                        <w:t xml:space="preserve"> vrij acuut begonnen</w:t>
                      </w:r>
                      <w:r w:rsidR="002253F5">
                        <w:t xml:space="preserve"> buikpijn bij kinderen is het te adviseren om laagdrempelig </w:t>
                      </w:r>
                      <w:r w:rsidR="005F2755">
                        <w:t>de volgende dag een herbeoordeling te laten plaatsvinden</w:t>
                      </w:r>
                      <w:r w:rsidR="00F656E2">
                        <w:t>.</w:t>
                      </w:r>
                    </w:p>
                    <w:p w14:paraId="57EAB154" w14:textId="77777777" w:rsidR="00F111DD" w:rsidRDefault="00F111DD"/>
                  </w:txbxContent>
                </v:textbox>
                <w10:wrap type="square" anchorx="margin"/>
              </v:shape>
            </w:pict>
          </mc:Fallback>
        </mc:AlternateContent>
      </w:r>
      <w:r>
        <w:rPr>
          <w:b/>
          <w:bCs/>
        </w:rPr>
        <w:t>Analyse casus</w:t>
      </w:r>
      <w:r w:rsidR="00086C64">
        <w:rPr>
          <w:b/>
          <w:bCs/>
        </w:rPr>
        <w:t xml:space="preserve"> 2018-G006</w:t>
      </w:r>
    </w:p>
    <w:p w14:paraId="28204F60" w14:textId="039589A4" w:rsidR="003D45A9" w:rsidRDefault="003D45A9" w:rsidP="000F485C">
      <w:pPr>
        <w:spacing w:line="240" w:lineRule="auto"/>
        <w:contextualSpacing/>
        <w:rPr>
          <w:b/>
          <w:bCs/>
        </w:rPr>
      </w:pPr>
    </w:p>
    <w:p w14:paraId="691EDD5C" w14:textId="5B845DB6" w:rsidR="00C5206F" w:rsidRPr="000738F6" w:rsidRDefault="000738F6" w:rsidP="000F485C">
      <w:pPr>
        <w:spacing w:line="240" w:lineRule="auto"/>
        <w:contextualSpacing/>
        <w:rPr>
          <w:b/>
          <w:bCs/>
        </w:rPr>
      </w:pPr>
      <w:r w:rsidRPr="000738F6">
        <w:rPr>
          <w:b/>
          <w:bCs/>
        </w:rPr>
        <w:t>De feiten</w:t>
      </w:r>
    </w:p>
    <w:p w14:paraId="0989FEFC" w14:textId="583B6698" w:rsidR="000F485C" w:rsidRDefault="00BA074C" w:rsidP="000F485C">
      <w:pPr>
        <w:spacing w:line="240" w:lineRule="auto"/>
        <w:contextualSpacing/>
      </w:pPr>
      <w:r>
        <w:t xml:space="preserve">Klager is de vader van </w:t>
      </w:r>
      <w:r w:rsidR="00B304F1">
        <w:t xml:space="preserve">een 9-jarige patiënte. </w:t>
      </w:r>
      <w:r w:rsidR="00866F30">
        <w:t>Hij bez</w:t>
      </w:r>
      <w:r w:rsidR="0020195D">
        <w:t>oek</w:t>
      </w:r>
      <w:r w:rsidR="00866F30">
        <w:t xml:space="preserve">t met haar de huisartsenpost vanwege </w:t>
      </w:r>
      <w:r w:rsidR="0002799E">
        <w:t>sinds een dag bestaande pijn i</w:t>
      </w:r>
      <w:r w:rsidR="00241219">
        <w:t xml:space="preserve">n de onderbuik. </w:t>
      </w:r>
      <w:r w:rsidR="00896C10">
        <w:t>De huisarts stelt, na lichamelijk onderzoek en onderzoek van de urine</w:t>
      </w:r>
      <w:r w:rsidR="001422E8">
        <w:t>,</w:t>
      </w:r>
      <w:r w:rsidR="00896C10">
        <w:t xml:space="preserve"> een urineweginfectie vast en schrijft antibiotica voor. </w:t>
      </w:r>
      <w:r w:rsidR="00522670">
        <w:t xml:space="preserve">Zij adviseert om zo nodig </w:t>
      </w:r>
      <w:r w:rsidR="00E75E53">
        <w:t xml:space="preserve">controle te laten verrichten bij de eigen huisarts bij toename of verandering van de klachten. </w:t>
      </w:r>
      <w:r w:rsidR="00896C10">
        <w:t>Twee dagen later</w:t>
      </w:r>
      <w:r w:rsidR="00A05E7D">
        <w:t xml:space="preserve"> melden klager en dochter zich bij de eigen huisarts, die de patiënte naar de SEH verwijst. </w:t>
      </w:r>
      <w:r w:rsidR="00815DB1">
        <w:t xml:space="preserve">Zij wordt nog dezelfde avond geopereerd aan een geperforeerde blindedarmontsteking, waarbij het beloop gecompliceerd </w:t>
      </w:r>
      <w:r w:rsidR="001422E8">
        <w:t>verloopt</w:t>
      </w:r>
      <w:r w:rsidR="00815DB1">
        <w:t>.</w:t>
      </w:r>
    </w:p>
    <w:p w14:paraId="12E33510" w14:textId="77777777" w:rsidR="001422E8" w:rsidRDefault="001422E8" w:rsidP="000F485C">
      <w:pPr>
        <w:spacing w:line="240" w:lineRule="auto"/>
        <w:contextualSpacing/>
      </w:pPr>
    </w:p>
    <w:p w14:paraId="183D400F" w14:textId="77777777" w:rsidR="001422E8" w:rsidRDefault="000738F6" w:rsidP="000F485C">
      <w:pPr>
        <w:spacing w:line="240" w:lineRule="auto"/>
        <w:contextualSpacing/>
        <w:rPr>
          <w:b/>
          <w:bCs/>
        </w:rPr>
      </w:pPr>
      <w:r w:rsidRPr="0070122C">
        <w:rPr>
          <w:b/>
          <w:bCs/>
        </w:rPr>
        <w:t>Klacht</w:t>
      </w:r>
    </w:p>
    <w:p w14:paraId="28CA554C" w14:textId="42A6E267" w:rsidR="001422E8" w:rsidRDefault="001422E8" w:rsidP="000F485C">
      <w:pPr>
        <w:spacing w:line="240" w:lineRule="auto"/>
        <w:contextualSpacing/>
      </w:pPr>
      <w:r>
        <w:t>Klager verwijt beklaagde:</w:t>
      </w:r>
    </w:p>
    <w:p w14:paraId="50A15ACD" w14:textId="5FDF3303" w:rsidR="001422E8" w:rsidRDefault="00131C92" w:rsidP="001422E8">
      <w:pPr>
        <w:pStyle w:val="Lijstalinea"/>
        <w:numPr>
          <w:ilvl w:val="0"/>
          <w:numId w:val="4"/>
        </w:numPr>
        <w:spacing w:line="240" w:lineRule="auto"/>
      </w:pPr>
      <w:r>
        <w:t>Dat zij zijn dochter niet heeft doorgestuurd naar de SEH en geen aanvullend bloedonderzoek heeft laten doen.</w:t>
      </w:r>
    </w:p>
    <w:p w14:paraId="5539D649" w14:textId="35ADD63F" w:rsidR="006D2C60" w:rsidRPr="001422E8" w:rsidRDefault="006D2C60" w:rsidP="001422E8">
      <w:pPr>
        <w:pStyle w:val="Lijstalinea"/>
        <w:numPr>
          <w:ilvl w:val="0"/>
          <w:numId w:val="4"/>
        </w:numPr>
        <w:spacing w:line="240" w:lineRule="auto"/>
      </w:pPr>
      <w:r>
        <w:t xml:space="preserve">Dat zij hem niet serieus heeft genomen in zijn </w:t>
      </w:r>
      <w:r w:rsidR="003349B8">
        <w:t>vraag of het misschien een blindedarmontsteking betrof.</w:t>
      </w:r>
    </w:p>
    <w:p w14:paraId="1D3179CB" w14:textId="75370319" w:rsidR="000738F6" w:rsidRDefault="001422E8" w:rsidP="000F485C">
      <w:pPr>
        <w:spacing w:line="240" w:lineRule="auto"/>
        <w:contextualSpacing/>
        <w:rPr>
          <w:b/>
          <w:bCs/>
        </w:rPr>
      </w:pPr>
      <w:r>
        <w:rPr>
          <w:b/>
          <w:bCs/>
        </w:rPr>
        <w:t>V</w:t>
      </w:r>
      <w:r w:rsidR="008F3B9C">
        <w:rPr>
          <w:b/>
          <w:bCs/>
        </w:rPr>
        <w:t>erweer</w:t>
      </w:r>
    </w:p>
    <w:p w14:paraId="13DD39D0" w14:textId="7224C49C" w:rsidR="008F3B9C" w:rsidRDefault="00854A8A" w:rsidP="000F485C">
      <w:pPr>
        <w:spacing w:line="240" w:lineRule="auto"/>
        <w:contextualSpacing/>
      </w:pPr>
      <w:r>
        <w:t>Beklaagde verweert zich door te stellen:</w:t>
      </w:r>
    </w:p>
    <w:p w14:paraId="5C70D01E" w14:textId="465E69EB" w:rsidR="00854A8A" w:rsidRDefault="00DC49F7" w:rsidP="00854A8A">
      <w:pPr>
        <w:pStyle w:val="Lijstalinea"/>
        <w:numPr>
          <w:ilvl w:val="0"/>
          <w:numId w:val="5"/>
        </w:numPr>
        <w:spacing w:line="240" w:lineRule="auto"/>
      </w:pPr>
      <w:r>
        <w:t>Dat patiënte op het spreekuur geen zieke indruk maakte en vrolijk was</w:t>
      </w:r>
      <w:r w:rsidR="00B44967">
        <w:t xml:space="preserve">. </w:t>
      </w:r>
    </w:p>
    <w:p w14:paraId="5380D9CC" w14:textId="7650B023" w:rsidR="00B44967" w:rsidRDefault="00B44967" w:rsidP="00854A8A">
      <w:pPr>
        <w:pStyle w:val="Lijstalinea"/>
        <w:numPr>
          <w:ilvl w:val="0"/>
          <w:numId w:val="5"/>
        </w:numPr>
        <w:spacing w:line="240" w:lineRule="auto"/>
      </w:pPr>
      <w:r>
        <w:t xml:space="preserve">Dat zij een appendicitis </w:t>
      </w:r>
      <w:r w:rsidR="00335DBD">
        <w:t>in haar differentiaaldiagnose had staan, net als een urineweginfectie</w:t>
      </w:r>
      <w:r w:rsidR="00975CD6">
        <w:t>. E</w:t>
      </w:r>
      <w:r w:rsidR="00F7033B">
        <w:t>r waren geen symptomen van een acute buik.</w:t>
      </w:r>
      <w:r w:rsidR="00A752E1">
        <w:t xml:space="preserve"> Zij is gaan behandelen met de werkdiagnose urineweginfectie en heeft geen stappen ondernomen om een eventuele acute buik uit te sluiten.</w:t>
      </w:r>
    </w:p>
    <w:p w14:paraId="5A89F5BA" w14:textId="6EF04274" w:rsidR="00854A8A" w:rsidRPr="008F3B9C" w:rsidRDefault="00A752E1" w:rsidP="000F485C">
      <w:pPr>
        <w:spacing w:line="240" w:lineRule="auto"/>
      </w:pPr>
      <w:r>
        <w:t xml:space="preserve">Beklaagde geeft verder aan </w:t>
      </w:r>
      <w:r w:rsidR="00A87919">
        <w:t xml:space="preserve">dat zij niet heeft geadviseerd om patiënte de volgende dag bij de eigen huisarts te laten </w:t>
      </w:r>
      <w:proofErr w:type="spellStart"/>
      <w:r w:rsidR="00A87919">
        <w:t>herbeoordelen</w:t>
      </w:r>
      <w:proofErr w:type="spellEnd"/>
      <w:r w:rsidR="002775D6">
        <w:t xml:space="preserve">. Zij had te weinig aanleiding </w:t>
      </w:r>
      <w:r w:rsidR="003601E6">
        <w:t>om te denken aan een blindedarmontsteking.</w:t>
      </w:r>
      <w:r w:rsidR="007D0601">
        <w:t xml:space="preserve"> Achteraf gezien had zij er wellicht beter aan gedaan om wel een herbeoordeling te adviseren.</w:t>
      </w:r>
    </w:p>
    <w:p w14:paraId="371BDB9A" w14:textId="01F2D6F7" w:rsidR="000738F6" w:rsidRDefault="000738F6" w:rsidP="000F485C">
      <w:pPr>
        <w:spacing w:line="240" w:lineRule="auto"/>
        <w:contextualSpacing/>
        <w:rPr>
          <w:b/>
          <w:bCs/>
        </w:rPr>
      </w:pPr>
      <w:r w:rsidRPr="00327E54">
        <w:rPr>
          <w:b/>
          <w:bCs/>
        </w:rPr>
        <w:t>Beoordeling</w:t>
      </w:r>
    </w:p>
    <w:p w14:paraId="73689811" w14:textId="2AFEDD62" w:rsidR="008F3B9C" w:rsidRDefault="00090A52" w:rsidP="000F485C">
      <w:pPr>
        <w:spacing w:line="240" w:lineRule="auto"/>
        <w:contextualSpacing/>
      </w:pPr>
      <w:r>
        <w:t xml:space="preserve">Op de arts-patiënt relatie is de Wet </w:t>
      </w:r>
      <w:proofErr w:type="gramStart"/>
      <w:r>
        <w:t>inzake</w:t>
      </w:r>
      <w:proofErr w:type="gramEnd"/>
      <w:r>
        <w:t xml:space="preserve"> de geneeskundige behandelingsovereenkomst (WGBO) van toepassing. Deze wet legt de hulpverlener de verplichting op om bij zijn werkzaamheden de zorg van een goed hulpverlener in acht te nemen en daarbij te handelen in overeenstemming met de op hem rustende verantwoordelijkheid, voortvloeiend uit de voor hulpverleners geldende professionele standaard.</w:t>
      </w:r>
    </w:p>
    <w:p w14:paraId="78B9F640" w14:textId="423C7F48" w:rsidR="00EF71FF" w:rsidRDefault="00EF71FF" w:rsidP="00A940EC">
      <w:pPr>
        <w:pStyle w:val="Lijstalinea"/>
        <w:numPr>
          <w:ilvl w:val="0"/>
          <w:numId w:val="6"/>
        </w:numPr>
        <w:spacing w:line="240" w:lineRule="auto"/>
      </w:pPr>
      <w:r>
        <w:lastRenderedPageBreak/>
        <w:t>De geschilleninstantie beoordeelt dat anamnese</w:t>
      </w:r>
      <w:r w:rsidR="001E727F">
        <w:t xml:space="preserve"> en onderzoek</w:t>
      </w:r>
      <w:r>
        <w:t xml:space="preserve"> </w:t>
      </w:r>
      <w:proofErr w:type="gramStart"/>
      <w:r>
        <w:t>conform</w:t>
      </w:r>
      <w:proofErr w:type="gramEnd"/>
      <w:r>
        <w:t xml:space="preserve"> de richtlijn ‘buikpijn bij kinderen’ zijn uitgevoerd.</w:t>
      </w:r>
      <w:r w:rsidR="00A940EC">
        <w:t xml:space="preserve"> </w:t>
      </w:r>
      <w:r w:rsidR="00D83ADA">
        <w:t>Een verwijzing naar de SEH was niet de vereiste vervolgstap</w:t>
      </w:r>
      <w:r w:rsidR="001E727F">
        <w:t xml:space="preserve"> ten tijde van de presentatie op de huisartsenpost.</w:t>
      </w:r>
    </w:p>
    <w:p w14:paraId="547820A3" w14:textId="24A5B875" w:rsidR="007D0601" w:rsidRDefault="00B81CC4" w:rsidP="000F485C">
      <w:pPr>
        <w:pStyle w:val="Lijstalinea"/>
        <w:numPr>
          <w:ilvl w:val="0"/>
          <w:numId w:val="6"/>
        </w:numPr>
        <w:spacing w:line="240" w:lineRule="auto"/>
      </w:pPr>
      <w:r>
        <w:t>Aangezien een blindedarmontsteking</w:t>
      </w:r>
      <w:r w:rsidR="00C0227B">
        <w:t xml:space="preserve"> relatief</w:t>
      </w:r>
      <w:r>
        <w:t xml:space="preserve"> vaak voorkomt bij kinderen rond de 10 jaar</w:t>
      </w:r>
      <w:r w:rsidR="002E43D9">
        <w:t xml:space="preserve"> is</w:t>
      </w:r>
      <w:r w:rsidR="00C0227B">
        <w:t xml:space="preserve"> de geschilleninstantie</w:t>
      </w:r>
      <w:r w:rsidR="002E43D9">
        <w:t xml:space="preserve"> van mening </w:t>
      </w:r>
      <w:r w:rsidR="004C42BA">
        <w:t xml:space="preserve">dat er meer ruimte had moeten zijn voor twijfel over de mogelijkheid van een blindedarmontsteking. Het gegeven behandeladvies en de keuze om </w:t>
      </w:r>
      <w:r w:rsidR="00EE4255">
        <w:t>geen herbeoordeling de volgende dag te adviseren, wordt daarom beoordeeld als mager onderbouwd</w:t>
      </w:r>
      <w:r w:rsidR="0001667F">
        <w:t xml:space="preserve"> maar niet in dusdanige mate dat </w:t>
      </w:r>
      <w:r w:rsidR="00B317CA">
        <w:t>er sprake zou zijn van onzorgvuldig handelen</w:t>
      </w:r>
      <w:r w:rsidR="0001667F">
        <w:t>.</w:t>
      </w:r>
      <w:r w:rsidR="00C40915">
        <w:t xml:space="preserve"> Wel adviseert de geschilleninstantie beklaagde om zich nader te beraden over concretisering van </w:t>
      </w:r>
      <w:r w:rsidR="006E4CD2">
        <w:t>haar beleid</w:t>
      </w:r>
      <w:r w:rsidR="00C40915">
        <w:t xml:space="preserve"> </w:t>
      </w:r>
      <w:r w:rsidR="006E4CD2">
        <w:t>in soortgelijke situaties.</w:t>
      </w:r>
    </w:p>
    <w:p w14:paraId="62324B50" w14:textId="6DF16F7D" w:rsidR="00A940EC" w:rsidRPr="008F3B9C" w:rsidRDefault="00423B15" w:rsidP="000F485C">
      <w:pPr>
        <w:pStyle w:val="Lijstalinea"/>
        <w:numPr>
          <w:ilvl w:val="0"/>
          <w:numId w:val="6"/>
        </w:numPr>
        <w:spacing w:line="240" w:lineRule="auto"/>
      </w:pPr>
      <w:r>
        <w:t xml:space="preserve">De geschilleninstantie meent ervan uit te kunnen gaan dat beklaagde de zorgen van klager over een blindedarmontsteking wel degelijk heeft </w:t>
      </w:r>
      <w:r w:rsidR="00BE232F">
        <w:t>gehoord. Dit maakt zij op uit het feit dat beklaagde in het dossier ‘blindedarmontsteking?’ heeft genoteerd.</w:t>
      </w:r>
    </w:p>
    <w:p w14:paraId="3123D053" w14:textId="100F6680" w:rsidR="000738F6" w:rsidRPr="00276292" w:rsidRDefault="000738F6" w:rsidP="000F485C">
      <w:pPr>
        <w:spacing w:line="240" w:lineRule="auto"/>
        <w:contextualSpacing/>
        <w:rPr>
          <w:b/>
          <w:bCs/>
        </w:rPr>
      </w:pPr>
      <w:r w:rsidRPr="00276292">
        <w:rPr>
          <w:b/>
          <w:bCs/>
        </w:rPr>
        <w:t>Beslissing</w:t>
      </w:r>
    </w:p>
    <w:p w14:paraId="5D1FBF35" w14:textId="475AA07D" w:rsidR="0090198A" w:rsidRDefault="00451FC7" w:rsidP="000F485C">
      <w:pPr>
        <w:spacing w:line="240" w:lineRule="auto"/>
        <w:contextualSpacing/>
      </w:pPr>
      <w:r>
        <w:t xml:space="preserve">De klacht wordt ongegrond verklaard. </w:t>
      </w:r>
    </w:p>
    <w:sectPr w:rsidR="009019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2200F"/>
    <w:multiLevelType w:val="hybridMultilevel"/>
    <w:tmpl w:val="40487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44B81"/>
    <w:multiLevelType w:val="hybridMultilevel"/>
    <w:tmpl w:val="D65C1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0F141FD"/>
    <w:multiLevelType w:val="hybridMultilevel"/>
    <w:tmpl w:val="9FBEA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E68156F"/>
    <w:multiLevelType w:val="hybridMultilevel"/>
    <w:tmpl w:val="D23853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5054CB1"/>
    <w:multiLevelType w:val="hybridMultilevel"/>
    <w:tmpl w:val="DCEAB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6128B4"/>
    <w:multiLevelType w:val="hybridMultilevel"/>
    <w:tmpl w:val="9BD6E4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BA6A20"/>
    <w:multiLevelType w:val="hybridMultilevel"/>
    <w:tmpl w:val="3ECC93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97506681">
    <w:abstractNumId w:val="5"/>
  </w:num>
  <w:num w:numId="2" w16cid:durableId="1745449745">
    <w:abstractNumId w:val="2"/>
  </w:num>
  <w:num w:numId="3" w16cid:durableId="1266304181">
    <w:abstractNumId w:val="1"/>
  </w:num>
  <w:num w:numId="4" w16cid:durableId="1213612855">
    <w:abstractNumId w:val="3"/>
  </w:num>
  <w:num w:numId="5" w16cid:durableId="320156831">
    <w:abstractNumId w:val="6"/>
  </w:num>
  <w:num w:numId="6" w16cid:durableId="647975054">
    <w:abstractNumId w:val="0"/>
  </w:num>
  <w:num w:numId="7" w16cid:durableId="4139354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F6"/>
    <w:rsid w:val="0001667F"/>
    <w:rsid w:val="0002799E"/>
    <w:rsid w:val="000738F6"/>
    <w:rsid w:val="00086C64"/>
    <w:rsid w:val="00090A52"/>
    <w:rsid w:val="000F485C"/>
    <w:rsid w:val="001070A6"/>
    <w:rsid w:val="00131C92"/>
    <w:rsid w:val="001422E8"/>
    <w:rsid w:val="00153480"/>
    <w:rsid w:val="001969BD"/>
    <w:rsid w:val="001E727F"/>
    <w:rsid w:val="0020195D"/>
    <w:rsid w:val="002253F5"/>
    <w:rsid w:val="00227E13"/>
    <w:rsid w:val="00241219"/>
    <w:rsid w:val="00256E4A"/>
    <w:rsid w:val="00276292"/>
    <w:rsid w:val="002775D6"/>
    <w:rsid w:val="002D241F"/>
    <w:rsid w:val="002E43D9"/>
    <w:rsid w:val="00327E54"/>
    <w:rsid w:val="003349B8"/>
    <w:rsid w:val="00335DBD"/>
    <w:rsid w:val="00351708"/>
    <w:rsid w:val="003601E6"/>
    <w:rsid w:val="003D45A9"/>
    <w:rsid w:val="003F16A0"/>
    <w:rsid w:val="00423B15"/>
    <w:rsid w:val="00451FC7"/>
    <w:rsid w:val="00490D56"/>
    <w:rsid w:val="004B5CEB"/>
    <w:rsid w:val="004C42BA"/>
    <w:rsid w:val="0051462D"/>
    <w:rsid w:val="00522670"/>
    <w:rsid w:val="005366D7"/>
    <w:rsid w:val="00547339"/>
    <w:rsid w:val="00554BD8"/>
    <w:rsid w:val="005F2755"/>
    <w:rsid w:val="006618FE"/>
    <w:rsid w:val="006712AC"/>
    <w:rsid w:val="006D2C60"/>
    <w:rsid w:val="006E4CD2"/>
    <w:rsid w:val="0070122C"/>
    <w:rsid w:val="007D0601"/>
    <w:rsid w:val="007D6463"/>
    <w:rsid w:val="007E355A"/>
    <w:rsid w:val="00804DB0"/>
    <w:rsid w:val="00814645"/>
    <w:rsid w:val="00815DB1"/>
    <w:rsid w:val="00821A02"/>
    <w:rsid w:val="00854A8A"/>
    <w:rsid w:val="00863576"/>
    <w:rsid w:val="00866F30"/>
    <w:rsid w:val="008728CB"/>
    <w:rsid w:val="00896C10"/>
    <w:rsid w:val="008D4B0F"/>
    <w:rsid w:val="008F3B9C"/>
    <w:rsid w:val="0090198A"/>
    <w:rsid w:val="009134EA"/>
    <w:rsid w:val="009413B0"/>
    <w:rsid w:val="00975CD6"/>
    <w:rsid w:val="00A01C6E"/>
    <w:rsid w:val="00A05E7D"/>
    <w:rsid w:val="00A606F1"/>
    <w:rsid w:val="00A63D73"/>
    <w:rsid w:val="00A752E1"/>
    <w:rsid w:val="00A87919"/>
    <w:rsid w:val="00A940EC"/>
    <w:rsid w:val="00AB4CD8"/>
    <w:rsid w:val="00AE6557"/>
    <w:rsid w:val="00B12422"/>
    <w:rsid w:val="00B304F1"/>
    <w:rsid w:val="00B317CA"/>
    <w:rsid w:val="00B44967"/>
    <w:rsid w:val="00B81CC4"/>
    <w:rsid w:val="00BA074C"/>
    <w:rsid w:val="00BB2B69"/>
    <w:rsid w:val="00BD2DF2"/>
    <w:rsid w:val="00BE232F"/>
    <w:rsid w:val="00C00801"/>
    <w:rsid w:val="00C0227B"/>
    <w:rsid w:val="00C40915"/>
    <w:rsid w:val="00C5206F"/>
    <w:rsid w:val="00C75AAA"/>
    <w:rsid w:val="00C951AA"/>
    <w:rsid w:val="00CE3802"/>
    <w:rsid w:val="00D83ADA"/>
    <w:rsid w:val="00DC49F7"/>
    <w:rsid w:val="00E75E53"/>
    <w:rsid w:val="00E9024A"/>
    <w:rsid w:val="00EE4255"/>
    <w:rsid w:val="00EF71FF"/>
    <w:rsid w:val="00EF7EA2"/>
    <w:rsid w:val="00F111DD"/>
    <w:rsid w:val="00F656E2"/>
    <w:rsid w:val="00F7033B"/>
    <w:rsid w:val="00F70CD0"/>
    <w:rsid w:val="00FF6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519B"/>
  <w15:chartTrackingRefBased/>
  <w15:docId w15:val="{37FC9357-B652-4ACE-9857-14DAF7CF3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738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478</Words>
  <Characters>2631</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Koehoorn | DOKh</dc:creator>
  <cp:keywords/>
  <dc:description/>
  <cp:lastModifiedBy>Femke Moerbeek | DOKh</cp:lastModifiedBy>
  <cp:revision>2</cp:revision>
  <dcterms:created xsi:type="dcterms:W3CDTF">2023-09-19T11:42:00Z</dcterms:created>
  <dcterms:modified xsi:type="dcterms:W3CDTF">2023-09-19T11:42:00Z</dcterms:modified>
</cp:coreProperties>
</file>