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62E20" w14:textId="3D5C5AA4" w:rsidR="003D45A9" w:rsidRDefault="003D45A9" w:rsidP="0028116A">
      <w:pPr>
        <w:spacing w:line="240" w:lineRule="auto"/>
        <w:contextualSpacing/>
        <w:rPr>
          <w:b/>
          <w:bCs/>
        </w:rPr>
      </w:pPr>
      <w:r w:rsidRPr="003D45A9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42855" wp14:editId="33CB9A3A">
                <wp:simplePos x="0" y="0"/>
                <wp:positionH relativeFrom="margin">
                  <wp:align>right</wp:align>
                </wp:positionH>
                <wp:positionV relativeFrom="paragraph">
                  <wp:posOffset>327025</wp:posOffset>
                </wp:positionV>
                <wp:extent cx="5737860" cy="2556510"/>
                <wp:effectExtent l="0" t="0" r="15240" b="1524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255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21545" w14:textId="247A0ECE" w:rsidR="003D45A9" w:rsidRPr="003D45A9" w:rsidRDefault="003D45A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D45A9">
                              <w:rPr>
                                <w:b/>
                                <w:bCs/>
                              </w:rPr>
                              <w:t>Leerpunten</w:t>
                            </w:r>
                          </w:p>
                          <w:p w14:paraId="5731C6BB" w14:textId="00B58282" w:rsidR="0002528A" w:rsidRDefault="0002528A" w:rsidP="0002528A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1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Vraag bij de patiënt</w:t>
                            </w:r>
                            <w:r w:rsidR="00DB19BA">
                              <w:rPr>
                                <w:sz w:val="22"/>
                                <w:szCs w:val="22"/>
                              </w:rPr>
                              <w:t xml:space="preserve"> met </w:t>
                            </w:r>
                            <w:r w:rsidR="00292F64">
                              <w:rPr>
                                <w:sz w:val="22"/>
                                <w:szCs w:val="22"/>
                              </w:rPr>
                              <w:t xml:space="preserve">een euthanasiewens al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in een vroeg stadium indringend aandacht voor het belang van de aanwezigheid van de kinderen bij de gesprekken</w:t>
                            </w:r>
                            <w:r w:rsidR="00292F6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BA1EA06" w14:textId="7A489A3F" w:rsidR="0002528A" w:rsidRDefault="0002528A" w:rsidP="0002528A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1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Overweeg om in eerste telefoongesprekken met kinderen/naasten te wijzen op het medisch beroepsgeheim en eventueel standaard een machtigingsformulier toe te zenden, waarmee de patiënt desgewenst toestemming kan geven voor het inzien van zijn medisch dossier</w:t>
                            </w:r>
                            <w:r w:rsidR="00292F6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D9BA5D8" w14:textId="1CED2269" w:rsidR="0002528A" w:rsidRDefault="0002528A" w:rsidP="0002528A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Maak kenbaar aan naasten van een patiënt</w:t>
                            </w:r>
                            <w:r w:rsidR="00305524">
                              <w:rPr>
                                <w:sz w:val="22"/>
                                <w:szCs w:val="22"/>
                              </w:rPr>
                              <w:t xml:space="preserve"> dat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5806F3">
                              <w:rPr>
                                <w:sz w:val="22"/>
                                <w:szCs w:val="22"/>
                              </w:rPr>
                              <w:t>als zij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contact opnemen, deze telefoongesprekken doorgegeven kunnen worden aan de patiënt en diens contactpersoon. </w:t>
                            </w:r>
                          </w:p>
                          <w:p w14:paraId="1C05FDB0" w14:textId="2BA942CF" w:rsidR="00ED6AB6" w:rsidRDefault="00ED6AB6" w:rsidP="0002528A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Voor de vraag of een euthanasiewens kan worden gehonoreerd </w:t>
                            </w:r>
                            <w:r w:rsidR="00A5456F">
                              <w:rPr>
                                <w:sz w:val="22"/>
                                <w:szCs w:val="22"/>
                              </w:rPr>
                              <w:t>is de diagnose niet allesbepalend. Vastgesteld moet worden dat er sprake is van uitzichtloos en ondraaglijk lijden.</w:t>
                            </w:r>
                          </w:p>
                          <w:p w14:paraId="2755ED9C" w14:textId="77777777" w:rsidR="003D45A9" w:rsidRDefault="003D45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4285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00.6pt;margin-top:25.75pt;width:451.8pt;height:201.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">
                <v:textbox>
                  <w:txbxContent>
                    <w:p w14:paraId="75D21545" w14:textId="247A0ECE" w:rsidR="003D45A9" w:rsidRPr="003D45A9" w:rsidRDefault="003D45A9">
                      <w:pPr>
                        <w:rPr>
                          <w:b/>
                          <w:bCs/>
                        </w:rPr>
                      </w:pPr>
                      <w:r w:rsidRPr="003D45A9">
                        <w:rPr>
                          <w:b/>
                          <w:bCs/>
                        </w:rPr>
                        <w:t>Leerpunten</w:t>
                      </w:r>
                    </w:p>
                    <w:p w14:paraId="5731C6BB" w14:textId="00B58282" w:rsidR="0002528A" w:rsidRDefault="0002528A" w:rsidP="0002528A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18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Vraag bij de patiënt</w:t>
                      </w:r>
                      <w:r w:rsidR="00DB19BA">
                        <w:rPr>
                          <w:sz w:val="22"/>
                          <w:szCs w:val="22"/>
                        </w:rPr>
                        <w:t xml:space="preserve"> met </w:t>
                      </w:r>
                      <w:r w:rsidR="00292F64">
                        <w:rPr>
                          <w:sz w:val="22"/>
                          <w:szCs w:val="22"/>
                        </w:rPr>
                        <w:t xml:space="preserve">een euthanasiewens al </w:t>
                      </w:r>
                      <w:r>
                        <w:rPr>
                          <w:sz w:val="22"/>
                          <w:szCs w:val="22"/>
                        </w:rPr>
                        <w:t>in een vroeg stadium indringend aandacht voor het belang van de aanwezigheid van de kinderen bij de gesprekken</w:t>
                      </w:r>
                      <w:r w:rsidR="00292F64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2BA1EA06" w14:textId="7A489A3F" w:rsidR="0002528A" w:rsidRDefault="0002528A" w:rsidP="0002528A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18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Overweeg om in eerste telefoongesprekken met kinderen/naasten te wijzen op het medisch beroepsgeheim en eventueel standaard een machtigingsformulier toe te zenden, waarmee de patiënt desgewenst toestemming kan geven voor het inzien van zijn medisch dossier</w:t>
                      </w:r>
                      <w:r w:rsidR="00292F64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7D9BA5D8" w14:textId="1CED2269" w:rsidR="0002528A" w:rsidRDefault="0002528A" w:rsidP="0002528A">
                      <w:pPr>
                        <w:pStyle w:val="Default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Maak kenbaar aan naasten van een patiënt</w:t>
                      </w:r>
                      <w:r w:rsidR="00305524">
                        <w:rPr>
                          <w:sz w:val="22"/>
                          <w:szCs w:val="22"/>
                        </w:rPr>
                        <w:t xml:space="preserve"> dat</w:t>
                      </w:r>
                      <w:r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="005806F3">
                        <w:rPr>
                          <w:sz w:val="22"/>
                          <w:szCs w:val="22"/>
                        </w:rPr>
                        <w:t>als zij</w:t>
                      </w:r>
                      <w:r>
                        <w:rPr>
                          <w:sz w:val="22"/>
                          <w:szCs w:val="22"/>
                        </w:rPr>
                        <w:t xml:space="preserve"> contact opnemen, deze telefoongesprekken doorgegeven kunnen worden aan de patiënt en diens contactpersoon. </w:t>
                      </w:r>
                    </w:p>
                    <w:p w14:paraId="1C05FDB0" w14:textId="2BA942CF" w:rsidR="00ED6AB6" w:rsidRDefault="00ED6AB6" w:rsidP="0002528A">
                      <w:pPr>
                        <w:pStyle w:val="Default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Voor de vraag of een euthanasiewens kan worden gehonoreerd </w:t>
                      </w:r>
                      <w:r w:rsidR="00A5456F">
                        <w:rPr>
                          <w:sz w:val="22"/>
                          <w:szCs w:val="22"/>
                        </w:rPr>
                        <w:t>is de diagnose niet allesbepalend. Vastgesteld moet worden dat er sprake is van uitzichtloos en ondraaglijk lijden.</w:t>
                      </w:r>
                    </w:p>
                    <w:p w14:paraId="2755ED9C" w14:textId="77777777" w:rsidR="003D45A9" w:rsidRDefault="003D45A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</w:rPr>
        <w:t>Analyse casus</w:t>
      </w:r>
      <w:r w:rsidR="0002528A">
        <w:rPr>
          <w:b/>
          <w:bCs/>
        </w:rPr>
        <w:t xml:space="preserve"> G008-G009</w:t>
      </w:r>
    </w:p>
    <w:p w14:paraId="28204F60" w14:textId="039589A4" w:rsidR="003D45A9" w:rsidRDefault="003D45A9" w:rsidP="0028116A">
      <w:pPr>
        <w:spacing w:line="240" w:lineRule="auto"/>
        <w:contextualSpacing/>
        <w:rPr>
          <w:b/>
          <w:bCs/>
        </w:rPr>
      </w:pPr>
    </w:p>
    <w:p w14:paraId="691EDD5C" w14:textId="5B845DB6" w:rsidR="00C5206F" w:rsidRPr="000738F6" w:rsidRDefault="000738F6" w:rsidP="0028116A">
      <w:pPr>
        <w:spacing w:line="240" w:lineRule="auto"/>
        <w:contextualSpacing/>
        <w:rPr>
          <w:b/>
          <w:bCs/>
        </w:rPr>
      </w:pPr>
      <w:r w:rsidRPr="000738F6">
        <w:rPr>
          <w:b/>
          <w:bCs/>
        </w:rPr>
        <w:t>De feiten</w:t>
      </w:r>
    </w:p>
    <w:p w14:paraId="455BE46E" w14:textId="47D0EE15" w:rsidR="0028116A" w:rsidRDefault="00B63265" w:rsidP="0028116A">
      <w:pPr>
        <w:spacing w:line="240" w:lineRule="auto"/>
        <w:contextualSpacing/>
      </w:pPr>
      <w:r>
        <w:t xml:space="preserve">Klagers zijn de kinderen </w:t>
      </w:r>
      <w:r w:rsidR="00291850">
        <w:t xml:space="preserve">uit het eerste huwelijk van de patiënt. </w:t>
      </w:r>
      <w:r w:rsidR="00E240E6">
        <w:t>Beklaagde 1 is de organisatie waar de patiënt</w:t>
      </w:r>
      <w:r w:rsidR="00E66684">
        <w:t>, vanwege zijn euthanasievraag,</w:t>
      </w:r>
      <w:r w:rsidR="00E240E6">
        <w:t xml:space="preserve"> </w:t>
      </w:r>
      <w:r w:rsidR="00E66684">
        <w:t>i</w:t>
      </w:r>
      <w:r w:rsidR="00E240E6">
        <w:t xml:space="preserve">s aangemeld door </w:t>
      </w:r>
      <w:r w:rsidR="00E66684">
        <w:t>zijn</w:t>
      </w:r>
      <w:r w:rsidR="00E240E6">
        <w:t xml:space="preserve"> huisarts. Beklaagde 2 is de arts die werkt voor deze organisatie.</w:t>
      </w:r>
    </w:p>
    <w:p w14:paraId="5D656C62" w14:textId="5008FB1A" w:rsidR="00EA0529" w:rsidRDefault="00291850" w:rsidP="0028116A">
      <w:pPr>
        <w:spacing w:line="240" w:lineRule="auto"/>
        <w:contextualSpacing/>
      </w:pPr>
      <w:r>
        <w:t>De patiënt heeft dementie</w:t>
      </w:r>
      <w:r w:rsidR="006174B3">
        <w:t xml:space="preserve">. Hij </w:t>
      </w:r>
      <w:r>
        <w:t xml:space="preserve">gaat met beklaagde </w:t>
      </w:r>
      <w:r w:rsidR="006174B3">
        <w:t xml:space="preserve">2 </w:t>
      </w:r>
      <w:r>
        <w:t>in gesprek over euthanasie</w:t>
      </w:r>
      <w:r w:rsidR="0097547A">
        <w:t>. Na het doorlopen van de diverse st</w:t>
      </w:r>
      <w:r w:rsidR="001749CA">
        <w:t>appen</w:t>
      </w:r>
      <w:r w:rsidR="0097547A">
        <w:t xml:space="preserve"> in het kader van de zorgvuldigheidseisen wordt de euthanasie uitgevoerd.</w:t>
      </w:r>
      <w:r w:rsidR="00E842CE">
        <w:t xml:space="preserve"> </w:t>
      </w:r>
    </w:p>
    <w:p w14:paraId="19C473CA" w14:textId="77777777" w:rsidR="00F81B2A" w:rsidRDefault="00F81B2A" w:rsidP="0028116A">
      <w:pPr>
        <w:spacing w:line="240" w:lineRule="auto"/>
        <w:contextualSpacing/>
      </w:pPr>
    </w:p>
    <w:p w14:paraId="0A33CEB8" w14:textId="77777777" w:rsidR="00713D7B" w:rsidRDefault="000738F6" w:rsidP="0028116A">
      <w:pPr>
        <w:spacing w:line="240" w:lineRule="auto"/>
        <w:contextualSpacing/>
        <w:rPr>
          <w:b/>
          <w:bCs/>
        </w:rPr>
      </w:pPr>
      <w:r w:rsidRPr="0070122C">
        <w:rPr>
          <w:b/>
          <w:bCs/>
        </w:rPr>
        <w:t>Klacht</w:t>
      </w:r>
    </w:p>
    <w:p w14:paraId="688D9430" w14:textId="3D326770" w:rsidR="00713D7B" w:rsidRDefault="0097547A" w:rsidP="0028116A">
      <w:pPr>
        <w:spacing w:line="240" w:lineRule="auto"/>
        <w:contextualSpacing/>
      </w:pPr>
      <w:r>
        <w:t>Klagers verwijten beklaagde</w:t>
      </w:r>
      <w:r w:rsidR="00E842CE">
        <w:t>n</w:t>
      </w:r>
      <w:r>
        <w:t>:</w:t>
      </w:r>
    </w:p>
    <w:p w14:paraId="6503B5CB" w14:textId="58BCA9A9" w:rsidR="0097547A" w:rsidRDefault="006B6531" w:rsidP="0028116A">
      <w:pPr>
        <w:pStyle w:val="Lijstalinea"/>
        <w:numPr>
          <w:ilvl w:val="0"/>
          <w:numId w:val="5"/>
        </w:numPr>
        <w:spacing w:line="240" w:lineRule="auto"/>
      </w:pPr>
      <w:r>
        <w:t>Onzorgvuldigheid met betrekking tot hun telefoongesprekken met</w:t>
      </w:r>
      <w:r w:rsidR="00E842CE">
        <w:t xml:space="preserve"> beklaa</w:t>
      </w:r>
      <w:r w:rsidR="00185BF4">
        <w:t>g</w:t>
      </w:r>
      <w:r w:rsidR="00E842CE">
        <w:t>de 1</w:t>
      </w:r>
      <w:r w:rsidR="00185BF4">
        <w:t>.</w:t>
      </w:r>
      <w:r w:rsidR="0062116A">
        <w:t xml:space="preserve"> </w:t>
      </w:r>
      <w:r w:rsidR="00FC2522">
        <w:t>De inhoud van deze gesprekken is niet doorgegeven aan beklaagde</w:t>
      </w:r>
      <w:r w:rsidR="00734B67">
        <w:t xml:space="preserve"> 2</w:t>
      </w:r>
      <w:r w:rsidR="00FC2522">
        <w:t>.</w:t>
      </w:r>
    </w:p>
    <w:p w14:paraId="07767D3F" w14:textId="7181B7D7" w:rsidR="00AF61DD" w:rsidRDefault="00FC2522" w:rsidP="0028116A">
      <w:pPr>
        <w:pStyle w:val="Lijstalinea"/>
        <w:numPr>
          <w:ilvl w:val="0"/>
          <w:numId w:val="5"/>
        </w:numPr>
        <w:spacing w:line="240" w:lineRule="auto"/>
      </w:pPr>
      <w:r>
        <w:t xml:space="preserve">Schending vertrouwen van </w:t>
      </w:r>
      <w:r w:rsidR="00185BF4">
        <w:t>beklaagde 1</w:t>
      </w:r>
      <w:r>
        <w:t xml:space="preserve">. </w:t>
      </w:r>
      <w:r w:rsidR="00E4384A">
        <w:t xml:space="preserve">Aan de echtgenote van hun vader is verteld dat zijn kinderen </w:t>
      </w:r>
      <w:r w:rsidR="00F4275E">
        <w:t>contact hadden opgenomen.</w:t>
      </w:r>
    </w:p>
    <w:p w14:paraId="7D30CEE6" w14:textId="2730F08F" w:rsidR="00F4275E" w:rsidRDefault="00F4275E" w:rsidP="0028116A">
      <w:pPr>
        <w:pStyle w:val="Lijstalinea"/>
        <w:numPr>
          <w:ilvl w:val="0"/>
          <w:numId w:val="5"/>
        </w:numPr>
        <w:spacing w:line="240" w:lineRule="auto"/>
      </w:pPr>
      <w:r>
        <w:t>Slechte communicatie door beklaagde</w:t>
      </w:r>
      <w:r w:rsidR="00185BF4">
        <w:t xml:space="preserve"> 2</w:t>
      </w:r>
      <w:r w:rsidR="00D63678">
        <w:t>, die zou hebben aangedrongen op een snelle euthanasie terwijl hun vader wilde wachten.</w:t>
      </w:r>
    </w:p>
    <w:p w14:paraId="036C3611" w14:textId="359800F5" w:rsidR="00D63678" w:rsidRPr="00713D7B" w:rsidRDefault="00D63678" w:rsidP="0028116A">
      <w:pPr>
        <w:pStyle w:val="Lijstalinea"/>
        <w:numPr>
          <w:ilvl w:val="0"/>
          <w:numId w:val="5"/>
        </w:numPr>
        <w:spacing w:line="240" w:lineRule="auto"/>
      </w:pPr>
      <w:r>
        <w:t xml:space="preserve">Tunnelvisie bij beklaagde 2. </w:t>
      </w:r>
      <w:r w:rsidR="002E13B6">
        <w:t>Na de aantoonbaar onzekere diagnose (‘mogelijk dementie’) was er geen aanvullend onderzoek meer gedaan.</w:t>
      </w:r>
    </w:p>
    <w:p w14:paraId="1D3179CB" w14:textId="025391D7" w:rsidR="000738F6" w:rsidRDefault="00713D7B" w:rsidP="0028116A">
      <w:pPr>
        <w:spacing w:line="240" w:lineRule="auto"/>
        <w:contextualSpacing/>
        <w:rPr>
          <w:b/>
          <w:bCs/>
        </w:rPr>
      </w:pPr>
      <w:r>
        <w:rPr>
          <w:b/>
          <w:bCs/>
        </w:rPr>
        <w:t>V</w:t>
      </w:r>
      <w:r w:rsidR="008F3B9C">
        <w:rPr>
          <w:b/>
          <w:bCs/>
        </w:rPr>
        <w:t>erweer</w:t>
      </w:r>
    </w:p>
    <w:p w14:paraId="13DD39D0" w14:textId="61AD03B6" w:rsidR="008F3B9C" w:rsidRDefault="00FC0A9C" w:rsidP="0028116A">
      <w:pPr>
        <w:spacing w:line="240" w:lineRule="auto"/>
        <w:contextualSpacing/>
      </w:pPr>
      <w:r>
        <w:t>Beklaagden verweren zich als volgt:</w:t>
      </w:r>
    </w:p>
    <w:p w14:paraId="1924C762" w14:textId="0BBCB00A" w:rsidR="00FC0A9C" w:rsidRDefault="003D2AA0" w:rsidP="0028116A">
      <w:pPr>
        <w:pStyle w:val="Lijstalinea"/>
        <w:numPr>
          <w:ilvl w:val="0"/>
          <w:numId w:val="7"/>
        </w:numPr>
        <w:spacing w:line="240" w:lineRule="auto"/>
      </w:pPr>
      <w:r>
        <w:t>Beklaagde 2 weerspreekt dat hij niet op de hoogte was van het telefonisch contact van klagers met beklaagde 1.</w:t>
      </w:r>
    </w:p>
    <w:p w14:paraId="5E9FC954" w14:textId="5F9CF21A" w:rsidR="003D2AA0" w:rsidRDefault="00C048CC" w:rsidP="0028116A">
      <w:pPr>
        <w:pStyle w:val="Lijstalinea"/>
        <w:numPr>
          <w:ilvl w:val="0"/>
          <w:numId w:val="7"/>
        </w:numPr>
        <w:spacing w:line="240" w:lineRule="auto"/>
      </w:pPr>
      <w:r>
        <w:t>B</w:t>
      </w:r>
      <w:r w:rsidR="003B6737">
        <w:t>eklaagde 2</w:t>
      </w:r>
      <w:r>
        <w:t xml:space="preserve"> beaamt dat hij</w:t>
      </w:r>
      <w:r w:rsidR="003B6737">
        <w:t xml:space="preserve"> met de echtgenote van de patiënt heeft gesproken</w:t>
      </w:r>
      <w:r w:rsidR="00A53B30">
        <w:t xml:space="preserve"> over het feit dat zijn kinderen contact hadden opgenomen</w:t>
      </w:r>
      <w:r w:rsidR="00F36977">
        <w:t xml:space="preserve">. Het is beklaagde 2 onduidelijk waarom </w:t>
      </w:r>
      <w:r w:rsidR="00A53B30">
        <w:t>een dergelijk contact geheim zou moeten blijven voor de patiënt en diens contactpersoon.</w:t>
      </w:r>
    </w:p>
    <w:p w14:paraId="35A13B7B" w14:textId="197E0697" w:rsidR="00A53B30" w:rsidRDefault="00B04748" w:rsidP="0028116A">
      <w:pPr>
        <w:pStyle w:val="Lijstalinea"/>
        <w:numPr>
          <w:ilvl w:val="0"/>
          <w:numId w:val="7"/>
        </w:numPr>
        <w:spacing w:line="240" w:lineRule="auto"/>
      </w:pPr>
      <w:r>
        <w:t xml:space="preserve">Beklaagde 2 weerspreekt dat er een slechte communicatie was over de datum waarop de euthanasie zou plaatsvinden. </w:t>
      </w:r>
      <w:r w:rsidR="00002CBC">
        <w:t>Hij stelt dat er gesprekken zijn geweest over het feit dat wilsbekwaamheid ten aanzien van euthanasie kan verdwijnen bij het vorderen van dementie. Dit heeft hij met de patiënt besproken.</w:t>
      </w:r>
    </w:p>
    <w:p w14:paraId="4003CED1" w14:textId="2C7804E2" w:rsidR="00002CBC" w:rsidRPr="008F3B9C" w:rsidRDefault="00440A40" w:rsidP="0028116A">
      <w:pPr>
        <w:pStyle w:val="Lijstalinea"/>
        <w:numPr>
          <w:ilvl w:val="0"/>
          <w:numId w:val="7"/>
        </w:numPr>
        <w:spacing w:line="240" w:lineRule="auto"/>
      </w:pPr>
      <w:r>
        <w:t xml:space="preserve">Betwist wordt dat er sprake was van tunnelvisie bij de diagnose dementie. </w:t>
      </w:r>
      <w:r w:rsidR="00173785">
        <w:t>Patiënt presenteerde zich als een man met een ernstig dementieel beeld en niet als een man met een depressie.</w:t>
      </w:r>
      <w:r w:rsidR="001F5270">
        <w:t xml:space="preserve"> De </w:t>
      </w:r>
      <w:proofErr w:type="gramStart"/>
      <w:r w:rsidR="001F5270">
        <w:t>SCEN arts</w:t>
      </w:r>
      <w:proofErr w:type="gramEnd"/>
      <w:r w:rsidR="001F5270">
        <w:t xml:space="preserve"> heeft niet getwijfeld aan de diagnose dementie.</w:t>
      </w:r>
    </w:p>
    <w:p w14:paraId="371BDB9A" w14:textId="34E309B7" w:rsidR="000738F6" w:rsidRDefault="000738F6" w:rsidP="0028116A">
      <w:pPr>
        <w:spacing w:line="240" w:lineRule="auto"/>
        <w:contextualSpacing/>
        <w:rPr>
          <w:b/>
          <w:bCs/>
        </w:rPr>
      </w:pPr>
      <w:r w:rsidRPr="00327E54">
        <w:rPr>
          <w:b/>
          <w:bCs/>
        </w:rPr>
        <w:lastRenderedPageBreak/>
        <w:t>Beoordeling</w:t>
      </w:r>
      <w:r w:rsidR="00C75AAA">
        <w:rPr>
          <w:b/>
          <w:bCs/>
        </w:rPr>
        <w:t xml:space="preserve"> </w:t>
      </w:r>
    </w:p>
    <w:p w14:paraId="4B157B19" w14:textId="259BB2F8" w:rsidR="002F251E" w:rsidRDefault="00EB0F9F" w:rsidP="0028116A">
      <w:pPr>
        <w:pStyle w:val="Lijstalinea"/>
        <w:numPr>
          <w:ilvl w:val="0"/>
          <w:numId w:val="8"/>
        </w:numPr>
        <w:spacing w:line="240" w:lineRule="auto"/>
      </w:pPr>
      <w:r>
        <w:t>Ten aanzien van deel 1 van de klacht (</w:t>
      </w:r>
      <w:r w:rsidR="002F251E">
        <w:t xml:space="preserve">onzorgvuldigheid </w:t>
      </w:r>
      <w:proofErr w:type="spellStart"/>
      <w:r w:rsidR="002F251E">
        <w:t>mbt</w:t>
      </w:r>
      <w:proofErr w:type="spellEnd"/>
      <w:r w:rsidR="002F251E">
        <w:t xml:space="preserve"> klagers telefoongesprekken met beklaagde 1</w:t>
      </w:r>
      <w:r w:rsidR="000F1760">
        <w:t xml:space="preserve">), komt uit de dossiervoering naar voren dat beklaagde 2 </w:t>
      </w:r>
      <w:r w:rsidR="002D445D">
        <w:t xml:space="preserve">door beklaagde 1 </w:t>
      </w:r>
      <w:r w:rsidR="00BB0E71">
        <w:t xml:space="preserve">wel </w:t>
      </w:r>
      <w:r w:rsidR="002D445D">
        <w:t>op de hoogte is gebracht van de telefoongesprekken van klagers en de twijfel bij klagers over de diagnose dementie.</w:t>
      </w:r>
      <w:r w:rsidR="00A62410">
        <w:t xml:space="preserve"> </w:t>
      </w:r>
      <w:r w:rsidR="00880B0D">
        <w:t xml:space="preserve">Beklaagde 1 heeft aangegeven als </w:t>
      </w:r>
      <w:proofErr w:type="spellStart"/>
      <w:r w:rsidR="00880B0D">
        <w:t>leerpunt</w:t>
      </w:r>
      <w:proofErr w:type="spellEnd"/>
      <w:r w:rsidR="00880B0D">
        <w:t xml:space="preserve"> uit deze casus te destilleren </w:t>
      </w:r>
      <w:r w:rsidR="00C613F3">
        <w:t>om bij patiënten eerder en indringender onder de aandacht te brengen dat het belangrijk is om de kinderen te betrekken bij de gesprekken.</w:t>
      </w:r>
      <w:r w:rsidR="00EB750F">
        <w:t xml:space="preserve"> De </w:t>
      </w:r>
      <w:proofErr w:type="spellStart"/>
      <w:r w:rsidR="00EB750F">
        <w:t>geschilleninstantie</w:t>
      </w:r>
      <w:proofErr w:type="spellEnd"/>
      <w:r w:rsidR="00EB750F">
        <w:t xml:space="preserve"> onderschrijft dit.</w:t>
      </w:r>
    </w:p>
    <w:p w14:paraId="5BBC8D06" w14:textId="61D7782B" w:rsidR="00BB0E71" w:rsidRDefault="00BB0E71" w:rsidP="0028116A">
      <w:pPr>
        <w:pStyle w:val="Lijstalinea"/>
        <w:numPr>
          <w:ilvl w:val="0"/>
          <w:numId w:val="8"/>
        </w:numPr>
        <w:spacing w:line="240" w:lineRule="auto"/>
      </w:pPr>
      <w:r>
        <w:t xml:space="preserve">Ten aanzien van deel </w:t>
      </w:r>
      <w:r w:rsidR="00D8384E">
        <w:t>2 van de klacht (</w:t>
      </w:r>
      <w:r w:rsidR="00822A6C">
        <w:t>schending van vertrouwen</w:t>
      </w:r>
      <w:r w:rsidR="00D4013E">
        <w:t xml:space="preserve"> door beklaagde 1), overweegt de </w:t>
      </w:r>
      <w:proofErr w:type="spellStart"/>
      <w:r w:rsidR="00D4013E">
        <w:t>geschilleninstantie</w:t>
      </w:r>
      <w:proofErr w:type="spellEnd"/>
      <w:r w:rsidR="00D4013E">
        <w:t xml:space="preserve"> dat het </w:t>
      </w:r>
      <w:r w:rsidR="00674AB6">
        <w:t xml:space="preserve">voor een goede arts/patiënt relatie van belang is om elkaar over en weer te informeren over zaken die belangrijk zijn voor </w:t>
      </w:r>
      <w:r w:rsidR="00AB17BC">
        <w:t>de behandelrelatie.</w:t>
      </w:r>
      <w:r w:rsidR="00035498">
        <w:t xml:space="preserve"> Dit is van toepassing op de telefoongesprekken die zijn gevoerd door klagers met beklaagde 1.</w:t>
      </w:r>
      <w:r w:rsidR="006D73E3">
        <w:t xml:space="preserve"> Vanuit maatschappelijk oogpunt was het wenselijk geweest wanneer beklaagde 1 klagers erop had gewezen dat de inhoud van de telefoongesprekken </w:t>
      </w:r>
      <w:r w:rsidR="00A22209">
        <w:t xml:space="preserve">hun vader </w:t>
      </w:r>
      <w:r w:rsidR="00050D9E">
        <w:t xml:space="preserve">en diens contactpersoon </w:t>
      </w:r>
      <w:r w:rsidR="00A22209">
        <w:t>ter ore zou komen.</w:t>
      </w:r>
    </w:p>
    <w:p w14:paraId="425EA208" w14:textId="099A428D" w:rsidR="00BB0E71" w:rsidRPr="00255FDA" w:rsidRDefault="00050D9E" w:rsidP="0028116A">
      <w:pPr>
        <w:pStyle w:val="Lijstalinea"/>
        <w:numPr>
          <w:ilvl w:val="0"/>
          <w:numId w:val="8"/>
        </w:numPr>
        <w:spacing w:line="240" w:lineRule="auto"/>
        <w:rPr>
          <w:b/>
          <w:bCs/>
        </w:rPr>
      </w:pPr>
      <w:r>
        <w:t>Ten aanzien van deel 3 van de klacht (slechte communicatie door beklaagde 2)</w:t>
      </w:r>
      <w:r w:rsidR="00481BB7">
        <w:t>, blijkt uit het dossier dat beklaagde 2 zorgvuldig heeft gecommuniceerd met de patiënt over de datum van de euthanasie.</w:t>
      </w:r>
      <w:r w:rsidR="0021643C">
        <w:t xml:space="preserve"> </w:t>
      </w:r>
      <w:r w:rsidR="00F159E3">
        <w:t xml:space="preserve">Gezien het ziektebeeld van de patiënt was het wenselijk om </w:t>
      </w:r>
      <w:r w:rsidR="00212A6B">
        <w:t>het tijdstip nadrukkelijk in de gesprekken naar voren te brengen en de euthanasie niet al te lang uit te stellen.</w:t>
      </w:r>
    </w:p>
    <w:p w14:paraId="39732B3D" w14:textId="06703838" w:rsidR="00255FDA" w:rsidRPr="0021643C" w:rsidRDefault="00255FDA" w:rsidP="0028116A">
      <w:pPr>
        <w:pStyle w:val="Lijstalinea"/>
        <w:numPr>
          <w:ilvl w:val="0"/>
          <w:numId w:val="8"/>
        </w:numPr>
        <w:spacing w:line="240" w:lineRule="auto"/>
        <w:rPr>
          <w:b/>
          <w:bCs/>
        </w:rPr>
      </w:pPr>
      <w:r>
        <w:t xml:space="preserve">Ten aanzien van deel 4 van de klacht (tunnelvisie bij beklaagde 2), komt de </w:t>
      </w:r>
      <w:proofErr w:type="spellStart"/>
      <w:r>
        <w:t>geschilleninstantie</w:t>
      </w:r>
      <w:proofErr w:type="spellEnd"/>
      <w:r>
        <w:t xml:space="preserve"> tot de conclusie dat </w:t>
      </w:r>
      <w:r w:rsidR="00334521">
        <w:t xml:space="preserve">de diagnose dementie gestoeld was op medische onderzoeken en </w:t>
      </w:r>
      <w:r w:rsidR="00EE6E13">
        <w:t>gesteld (dan wel niet ontkracht) was door verschillende medisch specialisten.</w:t>
      </w:r>
      <w:r w:rsidR="00865467">
        <w:t xml:space="preserve"> Verder overweegt de </w:t>
      </w:r>
      <w:proofErr w:type="spellStart"/>
      <w:r w:rsidR="00865467">
        <w:t>geschilleninstantie</w:t>
      </w:r>
      <w:proofErr w:type="spellEnd"/>
      <w:r w:rsidR="00865467">
        <w:t xml:space="preserve"> dat de diagnose niet allesbepalend is voor de vraag of een euthanasiewens kan worden gehonoreerd, maar dat moet worden vastgesteld dat er sprake is van ondraaglijk en uitzichtloos lijden.</w:t>
      </w:r>
    </w:p>
    <w:p w14:paraId="3123D053" w14:textId="3451D4D4" w:rsidR="000738F6" w:rsidRPr="00276292" w:rsidRDefault="000738F6" w:rsidP="0028116A">
      <w:pPr>
        <w:spacing w:line="240" w:lineRule="auto"/>
        <w:contextualSpacing/>
        <w:rPr>
          <w:b/>
          <w:bCs/>
        </w:rPr>
      </w:pPr>
      <w:r w:rsidRPr="00276292">
        <w:rPr>
          <w:b/>
          <w:bCs/>
        </w:rPr>
        <w:t>Beslissing</w:t>
      </w:r>
    </w:p>
    <w:p w14:paraId="5D1FBF35" w14:textId="43C4F4D1" w:rsidR="0090198A" w:rsidRDefault="00865467" w:rsidP="0028116A">
      <w:pPr>
        <w:spacing w:line="240" w:lineRule="auto"/>
        <w:contextualSpacing/>
      </w:pPr>
      <w:r>
        <w:t>De klacht wordt in al haar onderdelen ongegrond verklaard.</w:t>
      </w:r>
    </w:p>
    <w:sectPr w:rsidR="00901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64CE8"/>
    <w:multiLevelType w:val="hybridMultilevel"/>
    <w:tmpl w:val="6E02CA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44B81"/>
    <w:multiLevelType w:val="hybridMultilevel"/>
    <w:tmpl w:val="D65C19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141FD"/>
    <w:multiLevelType w:val="hybridMultilevel"/>
    <w:tmpl w:val="9FBEAF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128B4"/>
    <w:multiLevelType w:val="hybridMultilevel"/>
    <w:tmpl w:val="9BD6E4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72488"/>
    <w:multiLevelType w:val="hybridMultilevel"/>
    <w:tmpl w:val="6A581C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46D52"/>
    <w:multiLevelType w:val="hybridMultilevel"/>
    <w:tmpl w:val="4C98EF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02A90"/>
    <w:multiLevelType w:val="hybridMultilevel"/>
    <w:tmpl w:val="3CF4B7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E226B"/>
    <w:multiLevelType w:val="hybridMultilevel"/>
    <w:tmpl w:val="2D626B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506681">
    <w:abstractNumId w:val="3"/>
  </w:num>
  <w:num w:numId="2" w16cid:durableId="1745449745">
    <w:abstractNumId w:val="2"/>
  </w:num>
  <w:num w:numId="3" w16cid:durableId="1266304181">
    <w:abstractNumId w:val="1"/>
  </w:num>
  <w:num w:numId="4" w16cid:durableId="1336688363">
    <w:abstractNumId w:val="4"/>
  </w:num>
  <w:num w:numId="5" w16cid:durableId="200242193">
    <w:abstractNumId w:val="5"/>
  </w:num>
  <w:num w:numId="6" w16cid:durableId="293292780">
    <w:abstractNumId w:val="0"/>
  </w:num>
  <w:num w:numId="7" w16cid:durableId="1798716456">
    <w:abstractNumId w:val="7"/>
  </w:num>
  <w:num w:numId="8" w16cid:durableId="8062419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8F6"/>
    <w:rsid w:val="00002CBC"/>
    <w:rsid w:val="0002528A"/>
    <w:rsid w:val="00035498"/>
    <w:rsid w:val="00050D9E"/>
    <w:rsid w:val="000738F6"/>
    <w:rsid w:val="000A0F1D"/>
    <w:rsid w:val="000E094F"/>
    <w:rsid w:val="000F1760"/>
    <w:rsid w:val="000F485C"/>
    <w:rsid w:val="001070A6"/>
    <w:rsid w:val="00173785"/>
    <w:rsid w:val="001749CA"/>
    <w:rsid w:val="00185BF4"/>
    <w:rsid w:val="001969BD"/>
    <w:rsid w:val="001F5270"/>
    <w:rsid w:val="00212A6B"/>
    <w:rsid w:val="0021643C"/>
    <w:rsid w:val="00227E13"/>
    <w:rsid w:val="00255FDA"/>
    <w:rsid w:val="00256E4A"/>
    <w:rsid w:val="00276292"/>
    <w:rsid w:val="0028116A"/>
    <w:rsid w:val="00291850"/>
    <w:rsid w:val="00292F64"/>
    <w:rsid w:val="002D241F"/>
    <w:rsid w:val="002D445D"/>
    <w:rsid w:val="002E13B6"/>
    <w:rsid w:val="002F251E"/>
    <w:rsid w:val="003043B4"/>
    <w:rsid w:val="00305524"/>
    <w:rsid w:val="00316176"/>
    <w:rsid w:val="00327E54"/>
    <w:rsid w:val="00334521"/>
    <w:rsid w:val="00351708"/>
    <w:rsid w:val="003B6737"/>
    <w:rsid w:val="003D2AA0"/>
    <w:rsid w:val="003D45A9"/>
    <w:rsid w:val="003F16A0"/>
    <w:rsid w:val="00440A40"/>
    <w:rsid w:val="00462529"/>
    <w:rsid w:val="00481BB7"/>
    <w:rsid w:val="004A0C9B"/>
    <w:rsid w:val="004B5CEB"/>
    <w:rsid w:val="0051462D"/>
    <w:rsid w:val="00547339"/>
    <w:rsid w:val="00554BD8"/>
    <w:rsid w:val="005806F3"/>
    <w:rsid w:val="00615B9F"/>
    <w:rsid w:val="006174B3"/>
    <w:rsid w:val="0062116A"/>
    <w:rsid w:val="006618FE"/>
    <w:rsid w:val="006712AC"/>
    <w:rsid w:val="00674AB6"/>
    <w:rsid w:val="006B6531"/>
    <w:rsid w:val="006D73E3"/>
    <w:rsid w:val="0070122C"/>
    <w:rsid w:val="00713D7B"/>
    <w:rsid w:val="00734B67"/>
    <w:rsid w:val="007E355A"/>
    <w:rsid w:val="00805FB2"/>
    <w:rsid w:val="00821A02"/>
    <w:rsid w:val="00822A6C"/>
    <w:rsid w:val="00863576"/>
    <w:rsid w:val="00865467"/>
    <w:rsid w:val="00880B0D"/>
    <w:rsid w:val="008A10FB"/>
    <w:rsid w:val="008F3B9C"/>
    <w:rsid w:val="0090198A"/>
    <w:rsid w:val="009134EA"/>
    <w:rsid w:val="0097547A"/>
    <w:rsid w:val="009E2652"/>
    <w:rsid w:val="00A01C6E"/>
    <w:rsid w:val="00A22209"/>
    <w:rsid w:val="00A53B30"/>
    <w:rsid w:val="00A5456F"/>
    <w:rsid w:val="00A606F1"/>
    <w:rsid w:val="00A62410"/>
    <w:rsid w:val="00AB17BC"/>
    <w:rsid w:val="00AB4CD8"/>
    <w:rsid w:val="00AE6557"/>
    <w:rsid w:val="00AF61DD"/>
    <w:rsid w:val="00B04748"/>
    <w:rsid w:val="00B12422"/>
    <w:rsid w:val="00B63265"/>
    <w:rsid w:val="00BB0E71"/>
    <w:rsid w:val="00BD2DF2"/>
    <w:rsid w:val="00C00801"/>
    <w:rsid w:val="00C048CC"/>
    <w:rsid w:val="00C5206F"/>
    <w:rsid w:val="00C613F3"/>
    <w:rsid w:val="00C75AAA"/>
    <w:rsid w:val="00C8353B"/>
    <w:rsid w:val="00C951AA"/>
    <w:rsid w:val="00D4013E"/>
    <w:rsid w:val="00D63678"/>
    <w:rsid w:val="00D8384E"/>
    <w:rsid w:val="00DB19BA"/>
    <w:rsid w:val="00E240E6"/>
    <w:rsid w:val="00E4384A"/>
    <w:rsid w:val="00E66684"/>
    <w:rsid w:val="00E842CE"/>
    <w:rsid w:val="00EA0529"/>
    <w:rsid w:val="00EB0F9F"/>
    <w:rsid w:val="00EB750F"/>
    <w:rsid w:val="00ED6AB6"/>
    <w:rsid w:val="00EE6E13"/>
    <w:rsid w:val="00EF7EA2"/>
    <w:rsid w:val="00F159E3"/>
    <w:rsid w:val="00F36977"/>
    <w:rsid w:val="00F4275E"/>
    <w:rsid w:val="00F81B2A"/>
    <w:rsid w:val="00FC0A9C"/>
    <w:rsid w:val="00FC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519B"/>
  <w15:chartTrackingRefBased/>
  <w15:docId w15:val="{37FC9357-B652-4ACE-9857-14DAF7CF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738F6"/>
    <w:pPr>
      <w:ind w:left="720"/>
      <w:contextualSpacing/>
    </w:pPr>
  </w:style>
  <w:style w:type="paragraph" w:customStyle="1" w:styleId="Default">
    <w:name w:val="Default"/>
    <w:rsid w:val="000252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619</Words>
  <Characters>3407</Characters>
  <Application>Microsoft Office Word</Application>
  <DocSecurity>4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Koehoorn | DOKh</dc:creator>
  <cp:keywords/>
  <dc:description/>
  <cp:lastModifiedBy>Femke Moerbeek | DOKh</cp:lastModifiedBy>
  <cp:revision>2</cp:revision>
  <dcterms:created xsi:type="dcterms:W3CDTF">2023-09-19T11:52:00Z</dcterms:created>
  <dcterms:modified xsi:type="dcterms:W3CDTF">2023-09-19T11:52:00Z</dcterms:modified>
</cp:coreProperties>
</file>