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E20" w14:textId="45D92C50" w:rsidR="003D45A9" w:rsidRDefault="003D45A9" w:rsidP="000F485C">
      <w:pPr>
        <w:spacing w:line="240" w:lineRule="auto"/>
        <w:contextualSpacing/>
        <w:rPr>
          <w:b/>
          <w:bCs/>
        </w:rPr>
      </w:pPr>
      <w:r w:rsidRPr="003D45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42855" wp14:editId="6123F704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37860" cy="1404620"/>
                <wp:effectExtent l="0" t="0" r="1524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1545" w14:textId="6DA9F650" w:rsidR="003D45A9" w:rsidRPr="003D45A9" w:rsidRDefault="003D45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45A9">
                              <w:rPr>
                                <w:b/>
                                <w:bCs/>
                              </w:rPr>
                              <w:t>Leerpunt</w:t>
                            </w:r>
                          </w:p>
                          <w:p w14:paraId="2755ED9C" w14:textId="4DD1BC7B" w:rsidR="003D45A9" w:rsidRDefault="007E7352">
                            <w:r>
                              <w:t xml:space="preserve">Bij </w:t>
                            </w:r>
                            <w:r w:rsidR="00D8341E">
                              <w:t>de al dan niet gegrondverklaring</w:t>
                            </w:r>
                            <w:r w:rsidR="002B7504">
                              <w:t xml:space="preserve"> van een klacht </w:t>
                            </w:r>
                            <w:r w:rsidR="00D8341E">
                              <w:t>kijkt</w:t>
                            </w:r>
                            <w:r w:rsidR="002B7504">
                              <w:t xml:space="preserve"> de geschilleninstanti</w:t>
                            </w:r>
                            <w:r w:rsidR="00D8341E">
                              <w:t>e naar medisch handelen en</w:t>
                            </w:r>
                            <w:r w:rsidR="006777A9">
                              <w:t xml:space="preserve"> – indien van toepassing – ook </w:t>
                            </w:r>
                            <w:r w:rsidR="002B7504">
                              <w:t xml:space="preserve">naar causaliteit. </w:t>
                            </w:r>
                            <w:r w:rsidR="00D8341E">
                              <w:t xml:space="preserve">Causaliteit </w:t>
                            </w:r>
                            <w:r w:rsidR="002B7504">
                              <w:t xml:space="preserve">wil zeggen: </w:t>
                            </w:r>
                            <w:r w:rsidR="00392801">
                              <w:t>is er sprake van een oorzaak-gevolgrelatie, ofwel is de schade die een klager heeft of meent te hebben</w:t>
                            </w:r>
                            <w:r w:rsidR="00DF5C05">
                              <w:t xml:space="preserve"> </w:t>
                            </w:r>
                            <w:r w:rsidR="00BA7B44">
                              <w:t xml:space="preserve">geleden </w:t>
                            </w:r>
                            <w:r w:rsidR="00392801">
                              <w:t xml:space="preserve">het gevolg van </w:t>
                            </w:r>
                            <w:r w:rsidR="00D8341E">
                              <w:t xml:space="preserve">een fout van de aangeklaagde arts. </w:t>
                            </w:r>
                            <w:r w:rsidR="00496452">
                              <w:t xml:space="preserve">Pas als </w:t>
                            </w:r>
                            <w:r w:rsidR="00D43EA0">
                              <w:t xml:space="preserve">er sprake is van een medische fout en </w:t>
                            </w:r>
                            <w:r w:rsidR="00496452">
                              <w:t xml:space="preserve">causaliteit is aangetoond of </w:t>
                            </w:r>
                            <w:r w:rsidR="00D43EA0">
                              <w:t xml:space="preserve">waarschijnlijk </w:t>
                            </w:r>
                            <w:r w:rsidR="00566418">
                              <w:t xml:space="preserve">wordt </w:t>
                            </w:r>
                            <w:r w:rsidR="00496452">
                              <w:t>geacht, zal dat leiden tot gegrondverklaring</w:t>
                            </w:r>
                            <w:r w:rsidR="00137DB8">
                              <w:t xml:space="preserve"> op dat onderdeel van de klacht.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428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25.75pt;width:45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18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">
                <v:textbox style="mso-fit-shape-to-text:t">
                  <w:txbxContent>
                    <w:p w14:paraId="75D21545" w14:textId="6DA9F650" w:rsidR="003D45A9" w:rsidRPr="003D45A9" w:rsidRDefault="003D45A9">
                      <w:pPr>
                        <w:rPr>
                          <w:b/>
                          <w:bCs/>
                        </w:rPr>
                      </w:pPr>
                      <w:r w:rsidRPr="003D45A9">
                        <w:rPr>
                          <w:b/>
                          <w:bCs/>
                        </w:rPr>
                        <w:t>Leerpunt</w:t>
                      </w:r>
                    </w:p>
                    <w:p w14:paraId="2755ED9C" w14:textId="4DD1BC7B" w:rsidR="003D45A9" w:rsidRDefault="007E7352">
                      <w:r>
                        <w:t xml:space="preserve">Bij </w:t>
                      </w:r>
                      <w:r w:rsidR="00D8341E">
                        <w:t>de al dan niet gegrondverklaring</w:t>
                      </w:r>
                      <w:r w:rsidR="002B7504">
                        <w:t xml:space="preserve"> van een klacht </w:t>
                      </w:r>
                      <w:r w:rsidR="00D8341E">
                        <w:t>kijkt</w:t>
                      </w:r>
                      <w:r w:rsidR="002B7504">
                        <w:t xml:space="preserve"> de geschilleninstanti</w:t>
                      </w:r>
                      <w:r w:rsidR="00D8341E">
                        <w:t>e naar medisch handelen en</w:t>
                      </w:r>
                      <w:r w:rsidR="006777A9">
                        <w:t xml:space="preserve"> – indien van toepassing – ook </w:t>
                      </w:r>
                      <w:r w:rsidR="002B7504">
                        <w:t xml:space="preserve">naar causaliteit. </w:t>
                      </w:r>
                      <w:r w:rsidR="00D8341E">
                        <w:t xml:space="preserve">Causaliteit </w:t>
                      </w:r>
                      <w:r w:rsidR="002B7504">
                        <w:t xml:space="preserve">wil zeggen: </w:t>
                      </w:r>
                      <w:r w:rsidR="00392801">
                        <w:t>is er sprake van een oorzaak-gevolgrelatie, ofwel is de schade die een klager heeft of meent te hebben</w:t>
                      </w:r>
                      <w:r w:rsidR="00DF5C05">
                        <w:t xml:space="preserve"> </w:t>
                      </w:r>
                      <w:r w:rsidR="00BA7B44">
                        <w:t xml:space="preserve">geleden </w:t>
                      </w:r>
                      <w:r w:rsidR="00392801">
                        <w:t xml:space="preserve">het gevolg van </w:t>
                      </w:r>
                      <w:r w:rsidR="00D8341E">
                        <w:t xml:space="preserve">een fout van de aangeklaagde arts. </w:t>
                      </w:r>
                      <w:r w:rsidR="00496452">
                        <w:t xml:space="preserve">Pas als </w:t>
                      </w:r>
                      <w:r w:rsidR="00D43EA0">
                        <w:t xml:space="preserve">er sprake is van een medische fout en </w:t>
                      </w:r>
                      <w:r w:rsidR="00496452">
                        <w:t xml:space="preserve">causaliteit is aangetoond of </w:t>
                      </w:r>
                      <w:r w:rsidR="00D43EA0">
                        <w:t xml:space="preserve">waarschijnlijk </w:t>
                      </w:r>
                      <w:r w:rsidR="00566418">
                        <w:t xml:space="preserve">wordt </w:t>
                      </w:r>
                      <w:r w:rsidR="00496452">
                        <w:t>geacht, zal dat leiden tot gegrondverklaring</w:t>
                      </w:r>
                      <w:r w:rsidR="00137DB8">
                        <w:t xml:space="preserve"> op dat onderdeel van de klacht.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Analyse casus </w:t>
      </w:r>
      <w:r w:rsidR="001F46AA">
        <w:rPr>
          <w:b/>
          <w:bCs/>
        </w:rPr>
        <w:t>2019_G014</w:t>
      </w:r>
    </w:p>
    <w:p w14:paraId="2B5BF820" w14:textId="77777777" w:rsidR="00A14A71" w:rsidRDefault="00A14A71" w:rsidP="000F485C">
      <w:pPr>
        <w:spacing w:line="240" w:lineRule="auto"/>
        <w:contextualSpacing/>
        <w:rPr>
          <w:b/>
          <w:bCs/>
        </w:rPr>
      </w:pPr>
    </w:p>
    <w:p w14:paraId="691EDD5C" w14:textId="596FA6B9" w:rsidR="00C5206F" w:rsidRPr="000738F6" w:rsidRDefault="000738F6" w:rsidP="000F485C">
      <w:pPr>
        <w:spacing w:line="240" w:lineRule="auto"/>
        <w:contextualSpacing/>
        <w:rPr>
          <w:b/>
          <w:bCs/>
        </w:rPr>
      </w:pPr>
      <w:r w:rsidRPr="000738F6">
        <w:rPr>
          <w:b/>
          <w:bCs/>
        </w:rPr>
        <w:t>De feiten</w:t>
      </w:r>
    </w:p>
    <w:p w14:paraId="0989FEFC" w14:textId="7CD97801" w:rsidR="000F485C" w:rsidRDefault="001243E0" w:rsidP="000F485C">
      <w:pPr>
        <w:spacing w:line="240" w:lineRule="auto"/>
        <w:contextualSpacing/>
      </w:pPr>
      <w:r>
        <w:t>Klaagster gebruikt</w:t>
      </w:r>
      <w:r w:rsidR="003F73AC">
        <w:t xml:space="preserve"> vanwege rugklachten</w:t>
      </w:r>
      <w:r>
        <w:t xml:space="preserve"> </w:t>
      </w:r>
      <w:proofErr w:type="gramStart"/>
      <w:r>
        <w:t>reeds</w:t>
      </w:r>
      <w:proofErr w:type="gramEnd"/>
      <w:r>
        <w:t xml:space="preserve"> enkele jaren chronisch pijnmedicatie </w:t>
      </w:r>
      <w:r w:rsidR="003F73AC">
        <w:t xml:space="preserve">waaronder </w:t>
      </w:r>
      <w:r w:rsidR="00BF3471">
        <w:t>opiaten</w:t>
      </w:r>
      <w:r w:rsidR="003F73AC">
        <w:t>. Zij is meerdere keren geopereerd</w:t>
      </w:r>
      <w:r w:rsidR="003550F9">
        <w:t xml:space="preserve"> en een nieuwe operatie is vereist in verband met toenemende pijn, maar voor deze operatie bestaat een wachtlijst. </w:t>
      </w:r>
      <w:r w:rsidR="00260E47">
        <w:t>De beklaagde huisarts wijzigt en verhoogt in de wachtperiode een aantal keer de pijnmedicatie en past opi</w:t>
      </w:r>
      <w:r w:rsidR="002C10C5">
        <w:t>aat</w:t>
      </w:r>
      <w:r w:rsidR="00260E47">
        <w:t xml:space="preserve">rotatie toe. </w:t>
      </w:r>
      <w:r w:rsidR="007B6206">
        <w:t xml:space="preserve">Gedurende dit traject </w:t>
      </w:r>
      <w:r w:rsidR="00DC2073">
        <w:t xml:space="preserve">wordt </w:t>
      </w:r>
      <w:r w:rsidR="007B6206">
        <w:t xml:space="preserve">klaagster </w:t>
      </w:r>
      <w:r w:rsidR="002C10C5">
        <w:t xml:space="preserve">op een gegeven moment </w:t>
      </w:r>
      <w:r w:rsidR="00DC2073">
        <w:t xml:space="preserve">door echtgenoot aangetroffen met een verlaagd bewustzijn. Zij wordt hiervoor </w:t>
      </w:r>
      <w:r w:rsidR="0024511B">
        <w:t>enige tijd</w:t>
      </w:r>
      <w:r w:rsidR="00285077">
        <w:t xml:space="preserve"> opgenomen </w:t>
      </w:r>
      <w:r w:rsidR="0024511B">
        <w:t xml:space="preserve">en behandeld </w:t>
      </w:r>
      <w:r w:rsidR="00285077">
        <w:t xml:space="preserve">op de </w:t>
      </w:r>
      <w:r w:rsidR="00DC2073">
        <w:t>intensive care</w:t>
      </w:r>
      <w:r w:rsidR="00285077">
        <w:t xml:space="preserve">. Ongeveer acht maanden na deze </w:t>
      </w:r>
      <w:r w:rsidR="0024511B">
        <w:t>episode van bewus</w:t>
      </w:r>
      <w:r w:rsidR="007B7DEA">
        <w:t>t</w:t>
      </w:r>
      <w:r w:rsidR="0024511B">
        <w:t>zijnsdaling blijkt er sprake van een niet genezen bekkenfractuur.</w:t>
      </w:r>
      <w:r w:rsidR="00513FF9">
        <w:t xml:space="preserve"> Als meest waarschijnlijke verklaring wordt een zware val thuis genoemd.</w:t>
      </w:r>
    </w:p>
    <w:p w14:paraId="464CF9BE" w14:textId="77777777" w:rsidR="001243E0" w:rsidRDefault="001243E0" w:rsidP="000F485C">
      <w:pPr>
        <w:spacing w:line="240" w:lineRule="auto"/>
        <w:contextualSpacing/>
      </w:pPr>
    </w:p>
    <w:p w14:paraId="0A33CEB8" w14:textId="77777777" w:rsidR="00713D7B" w:rsidRDefault="000738F6" w:rsidP="000F485C">
      <w:pPr>
        <w:spacing w:line="240" w:lineRule="auto"/>
        <w:contextualSpacing/>
        <w:rPr>
          <w:b/>
          <w:bCs/>
        </w:rPr>
      </w:pPr>
      <w:r w:rsidRPr="0070122C">
        <w:rPr>
          <w:b/>
          <w:bCs/>
        </w:rPr>
        <w:t>Klacht</w:t>
      </w:r>
    </w:p>
    <w:p w14:paraId="50AD24EB" w14:textId="77777777" w:rsidR="00115BEC" w:rsidRDefault="00137E70" w:rsidP="00115BEC">
      <w:pPr>
        <w:pStyle w:val="Lijstalinea"/>
        <w:numPr>
          <w:ilvl w:val="0"/>
          <w:numId w:val="6"/>
        </w:numPr>
        <w:spacing w:line="240" w:lineRule="auto"/>
      </w:pPr>
      <w:r>
        <w:t>Klaagster verwijt de beklaagde dat</w:t>
      </w:r>
      <w:r w:rsidR="00961BC4">
        <w:t xml:space="preserve"> z</w:t>
      </w:r>
      <w:r>
        <w:t>ij telefonisch</w:t>
      </w:r>
      <w:r w:rsidR="00961BC4">
        <w:t>,</w:t>
      </w:r>
      <w:r>
        <w:t xml:space="preserve"> zonder persoonlijk contact en controle</w:t>
      </w:r>
      <w:r w:rsidR="00961BC4">
        <w:t>,</w:t>
      </w:r>
      <w:r>
        <w:t xml:space="preserve"> de pijnmedicatie heeft verhoogd naar een overdosering</w:t>
      </w:r>
      <w:r w:rsidR="00D729EB">
        <w:t>, hetgeen tot een val en een levensbedreigende situatie heeft geleid.</w:t>
      </w:r>
      <w:r w:rsidR="00961BC4">
        <w:t xml:space="preserve"> </w:t>
      </w:r>
    </w:p>
    <w:p w14:paraId="4AF3BB1F" w14:textId="2707E562" w:rsidR="00DC2073" w:rsidRPr="00713D7B" w:rsidRDefault="00961BC4" w:rsidP="000F485C">
      <w:pPr>
        <w:pStyle w:val="Lijstalinea"/>
        <w:numPr>
          <w:ilvl w:val="0"/>
          <w:numId w:val="6"/>
        </w:numPr>
        <w:spacing w:line="240" w:lineRule="auto"/>
      </w:pPr>
      <w:r>
        <w:t>Zij eist een schadevergoeding van in totaal €</w:t>
      </w:r>
      <w:r w:rsidR="00880528">
        <w:t>7585,-</w:t>
      </w:r>
      <w:r w:rsidR="00115BEC">
        <w:t>.</w:t>
      </w:r>
    </w:p>
    <w:p w14:paraId="1D3179CB" w14:textId="025391D7" w:rsidR="000738F6" w:rsidRDefault="00713D7B" w:rsidP="000F485C">
      <w:pPr>
        <w:spacing w:line="240" w:lineRule="auto"/>
        <w:contextualSpacing/>
        <w:rPr>
          <w:b/>
          <w:bCs/>
        </w:rPr>
      </w:pPr>
      <w:r>
        <w:rPr>
          <w:b/>
          <w:bCs/>
        </w:rPr>
        <w:t>V</w:t>
      </w:r>
      <w:r w:rsidR="008F3B9C">
        <w:rPr>
          <w:b/>
          <w:bCs/>
        </w:rPr>
        <w:t>erweer</w:t>
      </w:r>
    </w:p>
    <w:p w14:paraId="13DD39D0" w14:textId="025CCF80" w:rsidR="008F3B9C" w:rsidRDefault="00880528" w:rsidP="000F485C">
      <w:pPr>
        <w:spacing w:line="240" w:lineRule="auto"/>
        <w:contextualSpacing/>
      </w:pPr>
      <w:r>
        <w:t>Beklaagde verweert zich door te stellen dat</w:t>
      </w:r>
      <w:r w:rsidR="007715FB">
        <w:t>:</w:t>
      </w:r>
    </w:p>
    <w:p w14:paraId="0109D612" w14:textId="73117480" w:rsidR="007715FB" w:rsidRDefault="007715FB" w:rsidP="007715FB">
      <w:pPr>
        <w:pStyle w:val="Lijstalinea"/>
        <w:numPr>
          <w:ilvl w:val="0"/>
          <w:numId w:val="5"/>
        </w:numPr>
        <w:spacing w:line="240" w:lineRule="auto"/>
      </w:pPr>
      <w:r>
        <w:t xml:space="preserve">Er in verband met de wachtlijst voor de operatie </w:t>
      </w:r>
      <w:r w:rsidR="004B4720">
        <w:t>een periode van een aantal maanden overbrugd moest worden, waarin intensief contact is geweest met klaagster en de pijnmedicatie volgens de richtlijn is gewijzigd en verhoogd.</w:t>
      </w:r>
    </w:p>
    <w:p w14:paraId="5DD4D75A" w14:textId="159E3F29" w:rsidR="00880528" w:rsidRPr="008F3B9C" w:rsidRDefault="0052619E" w:rsidP="000F485C">
      <w:pPr>
        <w:pStyle w:val="Lijstalinea"/>
        <w:numPr>
          <w:ilvl w:val="0"/>
          <w:numId w:val="5"/>
        </w:numPr>
        <w:spacing w:line="240" w:lineRule="auto"/>
      </w:pPr>
      <w:r>
        <w:t>Klaags</w:t>
      </w:r>
      <w:r w:rsidR="009012EB">
        <w:t>t</w:t>
      </w:r>
      <w:r>
        <w:t xml:space="preserve">er twee keer eerder </w:t>
      </w:r>
      <w:r w:rsidR="009012EB">
        <w:t>korte tijd was opgenomen vanwege een bewustzijnsdaling, zonder dat er een oorzaak was gevonden</w:t>
      </w:r>
      <w:r w:rsidR="006E58D5">
        <w:t xml:space="preserve"> en dat zij een keer met een soortgelijk beeld op de eerste hulp was gezien, terwijl toen de pijnmedicatie fors was afgebouwd.</w:t>
      </w:r>
    </w:p>
    <w:p w14:paraId="371BDB9A" w14:textId="34E309B7" w:rsidR="000738F6" w:rsidRDefault="000738F6" w:rsidP="000F485C">
      <w:pPr>
        <w:spacing w:line="240" w:lineRule="auto"/>
        <w:contextualSpacing/>
        <w:rPr>
          <w:b/>
          <w:bCs/>
        </w:rPr>
      </w:pPr>
      <w:r w:rsidRPr="00327E54">
        <w:rPr>
          <w:b/>
          <w:bCs/>
        </w:rPr>
        <w:t>Beoordeling</w:t>
      </w:r>
      <w:r w:rsidR="00C75AAA">
        <w:rPr>
          <w:b/>
          <w:bCs/>
        </w:rPr>
        <w:t xml:space="preserve"> </w:t>
      </w:r>
    </w:p>
    <w:p w14:paraId="73689811" w14:textId="6C3BB45C" w:rsidR="008F3B9C" w:rsidRDefault="00A94A12" w:rsidP="000F485C">
      <w:pPr>
        <w:spacing w:line="240" w:lineRule="auto"/>
        <w:contextualSpacing/>
      </w:pPr>
      <w:r>
        <w:t xml:space="preserve">De geschilleninstantie stelt vast dat de kern van de klacht is dat </w:t>
      </w:r>
      <w:r w:rsidR="009D3365">
        <w:t>beklaagde heeft nagelaten om klaagster (ter controle van haar fysieke conditie) te zien, alvorens te besluiten tot een verhoging van de dosering</w:t>
      </w:r>
      <w:r w:rsidR="00945E33">
        <w:t xml:space="preserve"> van het opiaat, waardoor klaagster in een comateuze toestand is beland.</w:t>
      </w:r>
    </w:p>
    <w:p w14:paraId="46271F91" w14:textId="39C71EA3" w:rsidR="00945E33" w:rsidRDefault="000D313B" w:rsidP="00945E33">
      <w:pPr>
        <w:pStyle w:val="Lijstalinea"/>
        <w:numPr>
          <w:ilvl w:val="0"/>
          <w:numId w:val="7"/>
        </w:numPr>
        <w:spacing w:line="240" w:lineRule="auto"/>
      </w:pPr>
      <w:r>
        <w:t xml:space="preserve">De geschilleninstantie kan niet vaststellen dat er een causaal verband is tussen de verhoging van de dosering van het opiaat en het wegraken van klaagster. </w:t>
      </w:r>
    </w:p>
    <w:p w14:paraId="6BE784BB" w14:textId="43C4E9D9" w:rsidR="00057388" w:rsidRDefault="001C0D97" w:rsidP="00057388">
      <w:pPr>
        <w:pStyle w:val="Lijstalinea"/>
        <w:numPr>
          <w:ilvl w:val="1"/>
          <w:numId w:val="7"/>
        </w:numPr>
        <w:spacing w:line="240" w:lineRule="auto"/>
      </w:pPr>
      <w:r>
        <w:t xml:space="preserve">Klaagster heeft verklaard dat zij nooit </w:t>
      </w:r>
      <w:r w:rsidR="00B0753B">
        <w:t xml:space="preserve">eerder </w:t>
      </w:r>
      <w:r>
        <w:t>ernstige bijwerkingen heeft ervaren van opi</w:t>
      </w:r>
      <w:r w:rsidR="00B25B71">
        <w:t>at</w:t>
      </w:r>
      <w:r w:rsidR="004B75CF">
        <w:t>en</w:t>
      </w:r>
      <w:r w:rsidR="00BE6637">
        <w:t>.</w:t>
      </w:r>
    </w:p>
    <w:p w14:paraId="096C5D6F" w14:textId="446B1F74" w:rsidR="00BE6637" w:rsidRDefault="00BE6637" w:rsidP="00057388">
      <w:pPr>
        <w:pStyle w:val="Lijstalinea"/>
        <w:numPr>
          <w:ilvl w:val="1"/>
          <w:numId w:val="7"/>
        </w:numPr>
        <w:spacing w:line="240" w:lineRule="auto"/>
      </w:pPr>
      <w:r>
        <w:t xml:space="preserve">Klaagster is eerder ook al eens haar bewustzijn verloren terwijl </w:t>
      </w:r>
      <w:r w:rsidR="004B75CF">
        <w:t>zij toen geen, of een lagere dosering, op</w:t>
      </w:r>
      <w:r w:rsidR="00B25B71">
        <w:t>iat</w:t>
      </w:r>
      <w:r w:rsidR="004B75CF">
        <w:t>en gebruikte.</w:t>
      </w:r>
    </w:p>
    <w:p w14:paraId="440E59F3" w14:textId="0BF62973" w:rsidR="004B75CF" w:rsidRDefault="00897513" w:rsidP="00057388">
      <w:pPr>
        <w:pStyle w:val="Lijstalinea"/>
        <w:numPr>
          <w:ilvl w:val="1"/>
          <w:numId w:val="7"/>
        </w:numPr>
        <w:spacing w:line="240" w:lineRule="auto"/>
      </w:pPr>
      <w:r>
        <w:t>De comateuze toestand van klaagster is pas tien dagen na verhoging van de dosering opgetreden.</w:t>
      </w:r>
    </w:p>
    <w:p w14:paraId="5AB36702" w14:textId="5C605DA3" w:rsidR="00215DB9" w:rsidRDefault="000D4F34" w:rsidP="00057388">
      <w:pPr>
        <w:pStyle w:val="Lijstalinea"/>
        <w:numPr>
          <w:ilvl w:val="1"/>
          <w:numId w:val="7"/>
        </w:numPr>
        <w:spacing w:line="240" w:lineRule="auto"/>
      </w:pPr>
      <w:r>
        <w:lastRenderedPageBreak/>
        <w:t>In het verslag van de opname op de intensive care wordt genoemd dat het medicijngebruik waarschijnlijk de oorzaak was voor de bewustzijnsdaling. Dit is echter een w</w:t>
      </w:r>
      <w:r w:rsidR="00B0753B">
        <w:t>erk</w:t>
      </w:r>
      <w:r>
        <w:t>diagnose geweest die niet verder is onderzocht.</w:t>
      </w:r>
    </w:p>
    <w:p w14:paraId="3685C28D" w14:textId="6687AA7C" w:rsidR="00024839" w:rsidRDefault="00F12D20" w:rsidP="00945E33">
      <w:pPr>
        <w:pStyle w:val="Lijstalinea"/>
        <w:numPr>
          <w:ilvl w:val="0"/>
          <w:numId w:val="7"/>
        </w:numPr>
        <w:spacing w:line="240" w:lineRule="auto"/>
      </w:pPr>
      <w:r>
        <w:t xml:space="preserve">Verder stelt de geschilleninstantie vast dat er geen richtlijn is die voorschrijft dat een patiënt </w:t>
      </w:r>
      <w:r w:rsidR="00FA1977">
        <w:t xml:space="preserve">moet worden gezien bij verhoging van de pijnmedicatie. </w:t>
      </w:r>
      <w:proofErr w:type="gramStart"/>
      <w:r w:rsidR="009D5999">
        <w:t>B</w:t>
      </w:r>
      <w:r w:rsidR="00DD2394">
        <w:t>lijkens</w:t>
      </w:r>
      <w:proofErr w:type="gramEnd"/>
      <w:r w:rsidR="00DD2394">
        <w:t xml:space="preserve"> de richtlijn dient b</w:t>
      </w:r>
      <w:r w:rsidR="009D5999">
        <w:t>ij de behandeling met sterkwerkende opi</w:t>
      </w:r>
      <w:r w:rsidR="00736041">
        <w:t>at</w:t>
      </w:r>
      <w:r w:rsidR="009D5999">
        <w:t xml:space="preserve">en – aan de hand van de specifieke situatie van </w:t>
      </w:r>
      <w:r w:rsidR="00DD2394">
        <w:t>de individuele patiënt – een nauwkeurige afweging te worden gemaakt</w:t>
      </w:r>
      <w:r w:rsidR="00057388">
        <w:t xml:space="preserve">. </w:t>
      </w:r>
      <w:r w:rsidR="00E675DE">
        <w:t>De geschilleninstantie is van mening</w:t>
      </w:r>
      <w:r w:rsidR="00057388">
        <w:t xml:space="preserve"> dat beklaagde hieraan heeft voldaan.</w:t>
      </w:r>
    </w:p>
    <w:p w14:paraId="6AE15299" w14:textId="022A12C5" w:rsidR="007D277B" w:rsidRDefault="00E675DE" w:rsidP="00E675DE">
      <w:pPr>
        <w:pStyle w:val="Lijstalinea"/>
        <w:numPr>
          <w:ilvl w:val="1"/>
          <w:numId w:val="7"/>
        </w:numPr>
        <w:spacing w:line="240" w:lineRule="auto"/>
      </w:pPr>
      <w:r>
        <w:t xml:space="preserve">Uit de stukken blijkt dat er </w:t>
      </w:r>
      <w:r w:rsidR="00FD40B7">
        <w:t>over</w:t>
      </w:r>
      <w:r>
        <w:t xml:space="preserve"> de jaren </w:t>
      </w:r>
      <w:r w:rsidR="00E828F5">
        <w:t xml:space="preserve">intensief contact was </w:t>
      </w:r>
      <w:r w:rsidR="00FD40B7">
        <w:t>tussen klaagster, haar echtgenoot en beklaagde over de behandeling van de pijn</w:t>
      </w:r>
      <w:r w:rsidR="00E828F5">
        <w:t>.</w:t>
      </w:r>
    </w:p>
    <w:p w14:paraId="75646DFB" w14:textId="66F20E98" w:rsidR="00E828F5" w:rsidRDefault="00C923B9" w:rsidP="00E675DE">
      <w:pPr>
        <w:pStyle w:val="Lijstalinea"/>
        <w:numPr>
          <w:ilvl w:val="1"/>
          <w:numId w:val="7"/>
        </w:numPr>
        <w:spacing w:line="240" w:lineRule="auto"/>
      </w:pPr>
      <w:r>
        <w:t>In de meeste gevallen was dit telefonisch, maar beklaagde kwam ook bij klaagster en haar echtgenoot thuis.</w:t>
      </w:r>
    </w:p>
    <w:p w14:paraId="5A46BFD0" w14:textId="7E0A3477" w:rsidR="00B83278" w:rsidRPr="008F3B9C" w:rsidRDefault="00ED2C32" w:rsidP="000F485C">
      <w:pPr>
        <w:pStyle w:val="Lijstalinea"/>
        <w:numPr>
          <w:ilvl w:val="1"/>
          <w:numId w:val="7"/>
        </w:numPr>
        <w:spacing w:line="240" w:lineRule="auto"/>
      </w:pPr>
      <w:r>
        <w:t>De echtgenoot van k</w:t>
      </w:r>
      <w:r w:rsidR="001376F7">
        <w:t xml:space="preserve">laagster heeft </w:t>
      </w:r>
      <w:r>
        <w:t>in een te</w:t>
      </w:r>
      <w:r w:rsidR="00406D67">
        <w:t>lefonisch contact voorafgaand aan het verhogen van de dosering van haar medicatie</w:t>
      </w:r>
      <w:r w:rsidR="00400788">
        <w:t xml:space="preserve"> en de uiteindelijke bewustzijnsdaling</w:t>
      </w:r>
      <w:r w:rsidR="001376F7">
        <w:t xml:space="preserve"> terloops benoemd</w:t>
      </w:r>
      <w:r w:rsidR="00406D67">
        <w:t xml:space="preserve"> dat klaagster gevallen was. D</w:t>
      </w:r>
      <w:r w:rsidR="001376F7">
        <w:t xml:space="preserve">aaraan was </w:t>
      </w:r>
      <w:r w:rsidR="00406D67">
        <w:t xml:space="preserve">echter </w:t>
      </w:r>
      <w:r w:rsidR="001376F7">
        <w:t xml:space="preserve">geen </w:t>
      </w:r>
      <w:r w:rsidR="000400F5">
        <w:t xml:space="preserve">hulpvraag verbonden </w:t>
      </w:r>
      <w:r w:rsidR="00672CD9">
        <w:t>die reden had moeten zijn om klaagster fysiek te beoordelen alvorens de dosering van het opi</w:t>
      </w:r>
      <w:r w:rsidR="00255637">
        <w:t>aat</w:t>
      </w:r>
      <w:r w:rsidR="00672CD9">
        <w:t xml:space="preserve"> te verhogen.</w:t>
      </w:r>
    </w:p>
    <w:p w14:paraId="3123D053" w14:textId="100F6680" w:rsidR="000738F6" w:rsidRPr="00276292" w:rsidRDefault="000738F6" w:rsidP="000F485C">
      <w:pPr>
        <w:spacing w:line="240" w:lineRule="auto"/>
        <w:contextualSpacing/>
        <w:rPr>
          <w:b/>
          <w:bCs/>
        </w:rPr>
      </w:pPr>
      <w:r w:rsidRPr="00276292">
        <w:rPr>
          <w:b/>
          <w:bCs/>
        </w:rPr>
        <w:t>Beslissing</w:t>
      </w:r>
    </w:p>
    <w:p w14:paraId="5D1FBF35" w14:textId="7D877EB2" w:rsidR="0090198A" w:rsidRDefault="00956FA6" w:rsidP="000F485C">
      <w:pPr>
        <w:spacing w:line="240" w:lineRule="auto"/>
        <w:contextualSpacing/>
      </w:pPr>
      <w:r>
        <w:t>De geschilleninstantie verklaart de klacht ongegrond. Een schadevergoeding is niet van toepassing.</w:t>
      </w:r>
    </w:p>
    <w:sectPr w:rsidR="0090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4B81"/>
    <w:multiLevelType w:val="hybridMultilevel"/>
    <w:tmpl w:val="D65C1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495D"/>
    <w:multiLevelType w:val="hybridMultilevel"/>
    <w:tmpl w:val="82FC6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1FD"/>
    <w:multiLevelType w:val="hybridMultilevel"/>
    <w:tmpl w:val="9FBE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2B42"/>
    <w:multiLevelType w:val="hybridMultilevel"/>
    <w:tmpl w:val="6DC21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0DC4"/>
    <w:multiLevelType w:val="hybridMultilevel"/>
    <w:tmpl w:val="7972A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128B4"/>
    <w:multiLevelType w:val="hybridMultilevel"/>
    <w:tmpl w:val="9BD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C084C"/>
    <w:multiLevelType w:val="hybridMultilevel"/>
    <w:tmpl w:val="0018D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681">
    <w:abstractNumId w:val="5"/>
  </w:num>
  <w:num w:numId="2" w16cid:durableId="1745449745">
    <w:abstractNumId w:val="2"/>
  </w:num>
  <w:num w:numId="3" w16cid:durableId="1266304181">
    <w:abstractNumId w:val="0"/>
  </w:num>
  <w:num w:numId="4" w16cid:durableId="1150826405">
    <w:abstractNumId w:val="6"/>
  </w:num>
  <w:num w:numId="5" w16cid:durableId="788816033">
    <w:abstractNumId w:val="4"/>
  </w:num>
  <w:num w:numId="6" w16cid:durableId="1432822553">
    <w:abstractNumId w:val="1"/>
  </w:num>
  <w:num w:numId="7" w16cid:durableId="116204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6"/>
    <w:rsid w:val="00024839"/>
    <w:rsid w:val="000400F5"/>
    <w:rsid w:val="00057388"/>
    <w:rsid w:val="000738F6"/>
    <w:rsid w:val="000D313B"/>
    <w:rsid w:val="000D4F34"/>
    <w:rsid w:val="000F485C"/>
    <w:rsid w:val="001070A6"/>
    <w:rsid w:val="00115BEC"/>
    <w:rsid w:val="001243E0"/>
    <w:rsid w:val="001376F7"/>
    <w:rsid w:val="00137DB8"/>
    <w:rsid w:val="00137E70"/>
    <w:rsid w:val="001969BD"/>
    <w:rsid w:val="001C0D97"/>
    <w:rsid w:val="001F46AA"/>
    <w:rsid w:val="00215DB9"/>
    <w:rsid w:val="00227E13"/>
    <w:rsid w:val="0024511B"/>
    <w:rsid w:val="00255637"/>
    <w:rsid w:val="00256E4A"/>
    <w:rsid w:val="00260E47"/>
    <w:rsid w:val="00276292"/>
    <w:rsid w:val="00285077"/>
    <w:rsid w:val="002B7504"/>
    <w:rsid w:val="002C10C5"/>
    <w:rsid w:val="002D241F"/>
    <w:rsid w:val="00327E54"/>
    <w:rsid w:val="00351708"/>
    <w:rsid w:val="003550F9"/>
    <w:rsid w:val="00392801"/>
    <w:rsid w:val="003D45A9"/>
    <w:rsid w:val="003F16A0"/>
    <w:rsid w:val="003F73AC"/>
    <w:rsid w:val="00400788"/>
    <w:rsid w:val="00406D67"/>
    <w:rsid w:val="00496452"/>
    <w:rsid w:val="004B4720"/>
    <w:rsid w:val="004B5CEB"/>
    <w:rsid w:val="004B75CF"/>
    <w:rsid w:val="00513FF9"/>
    <w:rsid w:val="0051462D"/>
    <w:rsid w:val="0052619E"/>
    <w:rsid w:val="00547339"/>
    <w:rsid w:val="00554BD8"/>
    <w:rsid w:val="00566418"/>
    <w:rsid w:val="006618FE"/>
    <w:rsid w:val="006712AC"/>
    <w:rsid w:val="00672CD9"/>
    <w:rsid w:val="006777A9"/>
    <w:rsid w:val="006E58D5"/>
    <w:rsid w:val="0070122C"/>
    <w:rsid w:val="00713D7B"/>
    <w:rsid w:val="00736041"/>
    <w:rsid w:val="007715FB"/>
    <w:rsid w:val="007B6206"/>
    <w:rsid w:val="007B7DEA"/>
    <w:rsid w:val="007D277B"/>
    <w:rsid w:val="007E355A"/>
    <w:rsid w:val="007E7352"/>
    <w:rsid w:val="00821A02"/>
    <w:rsid w:val="00863576"/>
    <w:rsid w:val="00880528"/>
    <w:rsid w:val="00897513"/>
    <w:rsid w:val="008F3B9C"/>
    <w:rsid w:val="009012EB"/>
    <w:rsid w:val="0090198A"/>
    <w:rsid w:val="009134EA"/>
    <w:rsid w:val="00945E33"/>
    <w:rsid w:val="00956FA6"/>
    <w:rsid w:val="00961BC4"/>
    <w:rsid w:val="009D3365"/>
    <w:rsid w:val="009D5999"/>
    <w:rsid w:val="00A01C6E"/>
    <w:rsid w:val="00A14A71"/>
    <w:rsid w:val="00A370C2"/>
    <w:rsid w:val="00A606F1"/>
    <w:rsid w:val="00A94A12"/>
    <w:rsid w:val="00AB4CD8"/>
    <w:rsid w:val="00AE6557"/>
    <w:rsid w:val="00B0753B"/>
    <w:rsid w:val="00B12422"/>
    <w:rsid w:val="00B25B71"/>
    <w:rsid w:val="00B83278"/>
    <w:rsid w:val="00BA7B44"/>
    <w:rsid w:val="00BD2DF2"/>
    <w:rsid w:val="00BE6637"/>
    <w:rsid w:val="00BF3471"/>
    <w:rsid w:val="00C00801"/>
    <w:rsid w:val="00C5206F"/>
    <w:rsid w:val="00C75AAA"/>
    <w:rsid w:val="00C923B9"/>
    <w:rsid w:val="00C951AA"/>
    <w:rsid w:val="00D43EA0"/>
    <w:rsid w:val="00D729EB"/>
    <w:rsid w:val="00D8341E"/>
    <w:rsid w:val="00DB23A0"/>
    <w:rsid w:val="00DC2073"/>
    <w:rsid w:val="00DD2394"/>
    <w:rsid w:val="00DF5C05"/>
    <w:rsid w:val="00E675DE"/>
    <w:rsid w:val="00E828F5"/>
    <w:rsid w:val="00ED2C32"/>
    <w:rsid w:val="00EF7EA2"/>
    <w:rsid w:val="00F12D20"/>
    <w:rsid w:val="00FA197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19B"/>
  <w15:chartTrackingRefBased/>
  <w15:docId w15:val="{37FC9357-B652-4ACE-9857-14DAF7C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7" ma:contentTypeDescription="Een nieuw document maken." ma:contentTypeScope="" ma:versionID="43fcd984bcad0428bf24501c3d2e6db1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4603152797fd6bdfde8ff67526bcf830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42122-575c-4b0a-b38e-e163c1c4b572" xsi:nil="true"/>
    <lcf76f155ced4ddcb4097134ff3c332f xmlns="62d8ba66-26ef-4759-abd8-7fb7aa9ab4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2E6EB-7EA1-4216-A899-897F6E00B545}"/>
</file>

<file path=customXml/itemProps2.xml><?xml version="1.0" encoding="utf-8"?>
<ds:datastoreItem xmlns:ds="http://schemas.openxmlformats.org/officeDocument/2006/customXml" ds:itemID="{A36AECC5-3C6F-4B0F-BA0C-ED746E060971}"/>
</file>

<file path=customXml/itemProps3.xml><?xml version="1.0" encoding="utf-8"?>
<ds:datastoreItem xmlns:ds="http://schemas.openxmlformats.org/officeDocument/2006/customXml" ds:itemID="{9C65EE83-12E1-45E8-8659-C27B1AFB5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Koehoorn | DOKh</dc:creator>
  <cp:keywords/>
  <dc:description/>
  <cp:lastModifiedBy>Femke Moerbeek | DOKh</cp:lastModifiedBy>
  <cp:revision>2</cp:revision>
  <dcterms:created xsi:type="dcterms:W3CDTF">2023-10-23T12:52:00Z</dcterms:created>
  <dcterms:modified xsi:type="dcterms:W3CDTF">2023-10-23T12:52:00Z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</Properties>
</file>