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2E20" w14:textId="7BB49CFB" w:rsidR="003D45A9" w:rsidRDefault="003D45A9" w:rsidP="000F485C">
      <w:pPr>
        <w:spacing w:line="240" w:lineRule="auto"/>
        <w:contextualSpacing/>
        <w:rPr>
          <w:b/>
          <w:bCs/>
        </w:rPr>
      </w:pPr>
      <w:r w:rsidRPr="003D45A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42855" wp14:editId="6123F704">
                <wp:simplePos x="0" y="0"/>
                <wp:positionH relativeFrom="margin">
                  <wp:align>right</wp:align>
                </wp:positionH>
                <wp:positionV relativeFrom="paragraph">
                  <wp:posOffset>327025</wp:posOffset>
                </wp:positionV>
                <wp:extent cx="5737860" cy="1404620"/>
                <wp:effectExtent l="0" t="0" r="1524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21545" w14:textId="247A0ECE" w:rsidR="003D45A9" w:rsidRPr="006E2B68" w:rsidRDefault="003D45A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E2B68">
                              <w:rPr>
                                <w:b/>
                                <w:bCs/>
                                <w:u w:val="single"/>
                              </w:rPr>
                              <w:t>Leerpunten</w:t>
                            </w:r>
                          </w:p>
                          <w:p w14:paraId="2755ED9C" w14:textId="287E431C" w:rsidR="003D45A9" w:rsidRPr="00AE7856" w:rsidRDefault="00A435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7856">
                              <w:rPr>
                                <w:b/>
                                <w:bCs/>
                              </w:rPr>
                              <w:t xml:space="preserve">Een patiënt heeft recht op vernietiging van (een deel van) zijn medisch dossier en een arts is gehouden om hieraan gehoor te geven. </w:t>
                            </w:r>
                            <w:r w:rsidR="00DD04A3" w:rsidRPr="00AE7856">
                              <w:rPr>
                                <w:b/>
                                <w:bCs/>
                              </w:rPr>
                              <w:t>Het vernietigingsrecht is echter niet absoluut. Er zijn vier weigeringsgronden, te weten:</w:t>
                            </w:r>
                          </w:p>
                          <w:p w14:paraId="253B8ACC" w14:textId="77777777" w:rsidR="007506B5" w:rsidRPr="00AE7856" w:rsidRDefault="00DD04A3" w:rsidP="007506B5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DD04A3">
                              <w:rPr>
                                <w:b/>
                                <w:bCs/>
                              </w:rPr>
                              <w:t xml:space="preserve">Een ander dan de patiënt heeft een aanmerkelijk belang bij het bewaren van de gegevens. </w:t>
                            </w:r>
                          </w:p>
                          <w:p w14:paraId="0F0DBC66" w14:textId="77777777" w:rsidR="007506B5" w:rsidRPr="00AE7856" w:rsidRDefault="00DD04A3" w:rsidP="007506B5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AE7856">
                              <w:rPr>
                                <w:b/>
                                <w:bCs/>
                              </w:rPr>
                              <w:t xml:space="preserve">Een andere wet schrijft een bewaartermijn voor waarbinnen de gegevens niet vernietigd mogen worden. </w:t>
                            </w:r>
                          </w:p>
                          <w:p w14:paraId="53DE2B5F" w14:textId="77777777" w:rsidR="007506B5" w:rsidRPr="00AE7856" w:rsidRDefault="00DD04A3" w:rsidP="007506B5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AE7856">
                              <w:rPr>
                                <w:b/>
                                <w:bCs/>
                              </w:rPr>
                              <w:t xml:space="preserve">De vernietiging belemmert goed </w:t>
                            </w:r>
                            <w:proofErr w:type="spellStart"/>
                            <w:r w:rsidRPr="00AE7856">
                              <w:rPr>
                                <w:b/>
                                <w:bCs/>
                              </w:rPr>
                              <w:t>hulpverlenerschap</w:t>
                            </w:r>
                            <w:proofErr w:type="spellEnd"/>
                            <w:r w:rsidRPr="00AE7856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3DD58BA2" w14:textId="1D013F18" w:rsidR="00DD04A3" w:rsidRPr="00AE7856" w:rsidRDefault="00DD04A3" w:rsidP="007506B5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AE7856">
                              <w:rPr>
                                <w:b/>
                                <w:bCs/>
                              </w:rPr>
                              <w:t>De Wet op de geneeskundige behandelingsovereenkomst (</w:t>
                            </w:r>
                            <w:proofErr w:type="spellStart"/>
                            <w:r w:rsidRPr="00AE7856">
                              <w:rPr>
                                <w:b/>
                                <w:bCs/>
                              </w:rPr>
                              <w:t>Wgbo</w:t>
                            </w:r>
                            <w:proofErr w:type="spellEnd"/>
                            <w:r w:rsidRPr="00AE7856">
                              <w:rPr>
                                <w:b/>
                                <w:bCs/>
                              </w:rPr>
                              <w:t xml:space="preserve">) is slechts deels van toepassing. </w:t>
                            </w:r>
                          </w:p>
                          <w:p w14:paraId="770F124A" w14:textId="6337310B" w:rsidR="00DD04A3" w:rsidRPr="00AE7856" w:rsidRDefault="007506B5" w:rsidP="007506B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7856">
                              <w:rPr>
                                <w:b/>
                                <w:bCs/>
                              </w:rPr>
                              <w:t xml:space="preserve">Ten aanzien van het derde punt (weigeringsgrond goed </w:t>
                            </w:r>
                            <w:proofErr w:type="spellStart"/>
                            <w:r w:rsidRPr="00AE7856">
                              <w:rPr>
                                <w:b/>
                                <w:bCs/>
                              </w:rPr>
                              <w:t>hulpverlenerschap</w:t>
                            </w:r>
                            <w:proofErr w:type="spellEnd"/>
                            <w:r w:rsidRPr="00AE7856">
                              <w:rPr>
                                <w:b/>
                                <w:bCs/>
                              </w:rPr>
                              <w:t xml:space="preserve">) geldt dat </w:t>
                            </w:r>
                            <w:r w:rsidR="00E470B8" w:rsidRPr="00AE7856">
                              <w:rPr>
                                <w:b/>
                                <w:bCs/>
                              </w:rPr>
                              <w:t xml:space="preserve">elke arts een zeker mate van beoordelingsvrijheid heeft wanneer dit argument voor hem of haar van toepassing is. </w:t>
                            </w:r>
                            <w:r w:rsidR="00AE7856" w:rsidRPr="00AE7856">
                              <w:rPr>
                                <w:b/>
                                <w:bCs/>
                              </w:rPr>
                              <w:t>Bij een klachtenprocedure zal de huisarts deze argumentatie wel moeten kunnen uiteenzetten.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4285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0.6pt;margin-top:25.75pt;width:451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18EgIAACAEAAAOAAAAZHJzL2Uyb0RvYy54bWysk99v2yAQx98n7X9AvC92siRNrThVly7T&#10;pO6H1O0PwBjHaJhjB4md/fU9SJpG3fYyjQcE3PHl7nPH8mboDNsr9BpsycejnDNlJdTabkv+/dvm&#10;zYI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">
                <v:textbox style="mso-fit-shape-to-text:t">
                  <w:txbxContent>
                    <w:p w14:paraId="75D21545" w14:textId="247A0ECE" w:rsidR="003D45A9" w:rsidRPr="006E2B68" w:rsidRDefault="003D45A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E2B68">
                        <w:rPr>
                          <w:b/>
                          <w:bCs/>
                          <w:u w:val="single"/>
                        </w:rPr>
                        <w:t>Leerpunten</w:t>
                      </w:r>
                    </w:p>
                    <w:p w14:paraId="2755ED9C" w14:textId="287E431C" w:rsidR="003D45A9" w:rsidRPr="00AE7856" w:rsidRDefault="00A43555">
                      <w:pPr>
                        <w:rPr>
                          <w:b/>
                          <w:bCs/>
                        </w:rPr>
                      </w:pPr>
                      <w:r w:rsidRPr="00AE7856">
                        <w:rPr>
                          <w:b/>
                          <w:bCs/>
                        </w:rPr>
                        <w:t xml:space="preserve">Een patiënt heeft recht op vernietiging van (een deel van) zijn medisch dossier en een arts is gehouden om hieraan gehoor te geven. </w:t>
                      </w:r>
                      <w:r w:rsidR="00DD04A3" w:rsidRPr="00AE7856">
                        <w:rPr>
                          <w:b/>
                          <w:bCs/>
                        </w:rPr>
                        <w:t>Het vernietigingsrecht is echter niet absoluut. Er zijn vier weigeringsgronden, te weten:</w:t>
                      </w:r>
                    </w:p>
                    <w:p w14:paraId="253B8ACC" w14:textId="77777777" w:rsidR="007506B5" w:rsidRPr="00AE7856" w:rsidRDefault="00DD04A3" w:rsidP="007506B5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DD04A3">
                        <w:rPr>
                          <w:b/>
                          <w:bCs/>
                        </w:rPr>
                        <w:t xml:space="preserve">Een ander dan de patiënt heeft een aanmerkelijk belang bij het bewaren van de gegevens. </w:t>
                      </w:r>
                    </w:p>
                    <w:p w14:paraId="0F0DBC66" w14:textId="77777777" w:rsidR="007506B5" w:rsidRPr="00AE7856" w:rsidRDefault="00DD04A3" w:rsidP="007506B5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AE7856">
                        <w:rPr>
                          <w:b/>
                          <w:bCs/>
                        </w:rPr>
                        <w:t xml:space="preserve">Een andere wet schrijft een bewaartermijn voor waarbinnen de gegevens niet vernietigd mogen worden. </w:t>
                      </w:r>
                    </w:p>
                    <w:p w14:paraId="53DE2B5F" w14:textId="77777777" w:rsidR="007506B5" w:rsidRPr="00AE7856" w:rsidRDefault="00DD04A3" w:rsidP="007506B5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AE7856">
                        <w:rPr>
                          <w:b/>
                          <w:bCs/>
                        </w:rPr>
                        <w:t xml:space="preserve">De vernietiging belemmert goed </w:t>
                      </w:r>
                      <w:proofErr w:type="spellStart"/>
                      <w:r w:rsidRPr="00AE7856">
                        <w:rPr>
                          <w:b/>
                          <w:bCs/>
                        </w:rPr>
                        <w:t>hulpverlenerschap</w:t>
                      </w:r>
                      <w:proofErr w:type="spellEnd"/>
                      <w:r w:rsidRPr="00AE7856">
                        <w:rPr>
                          <w:b/>
                          <w:bCs/>
                        </w:rPr>
                        <w:t xml:space="preserve">. </w:t>
                      </w:r>
                    </w:p>
                    <w:p w14:paraId="3DD58BA2" w14:textId="1D013F18" w:rsidR="00DD04A3" w:rsidRPr="00AE7856" w:rsidRDefault="00DD04A3" w:rsidP="007506B5">
                      <w:pPr>
                        <w:pStyle w:val="Lijstalinea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 w:rsidRPr="00AE7856">
                        <w:rPr>
                          <w:b/>
                          <w:bCs/>
                        </w:rPr>
                        <w:t>De Wet op de geneeskundige behandelingsovereenkomst (</w:t>
                      </w:r>
                      <w:proofErr w:type="spellStart"/>
                      <w:r w:rsidRPr="00AE7856">
                        <w:rPr>
                          <w:b/>
                          <w:bCs/>
                        </w:rPr>
                        <w:t>Wgbo</w:t>
                      </w:r>
                      <w:proofErr w:type="spellEnd"/>
                      <w:r w:rsidRPr="00AE7856">
                        <w:rPr>
                          <w:b/>
                          <w:bCs/>
                        </w:rPr>
                        <w:t xml:space="preserve">) is slechts deels van toepassing. </w:t>
                      </w:r>
                    </w:p>
                    <w:p w14:paraId="770F124A" w14:textId="6337310B" w:rsidR="00DD04A3" w:rsidRPr="00AE7856" w:rsidRDefault="007506B5" w:rsidP="007506B5">
                      <w:pPr>
                        <w:rPr>
                          <w:b/>
                          <w:bCs/>
                        </w:rPr>
                      </w:pPr>
                      <w:r w:rsidRPr="00AE7856">
                        <w:rPr>
                          <w:b/>
                          <w:bCs/>
                        </w:rPr>
                        <w:t xml:space="preserve">Ten aanzien van het derde punt (weigeringsgrond goed </w:t>
                      </w:r>
                      <w:proofErr w:type="spellStart"/>
                      <w:r w:rsidRPr="00AE7856">
                        <w:rPr>
                          <w:b/>
                          <w:bCs/>
                        </w:rPr>
                        <w:t>hulpverlenerschap</w:t>
                      </w:r>
                      <w:proofErr w:type="spellEnd"/>
                      <w:r w:rsidRPr="00AE7856">
                        <w:rPr>
                          <w:b/>
                          <w:bCs/>
                        </w:rPr>
                        <w:t xml:space="preserve">) geldt dat </w:t>
                      </w:r>
                      <w:r w:rsidR="00E470B8" w:rsidRPr="00AE7856">
                        <w:rPr>
                          <w:b/>
                          <w:bCs/>
                        </w:rPr>
                        <w:t xml:space="preserve">elke arts een zeker mate van beoordelingsvrijheid heeft wanneer dit argument voor hem of haar van toepassing is. </w:t>
                      </w:r>
                      <w:r w:rsidR="00AE7856" w:rsidRPr="00AE7856">
                        <w:rPr>
                          <w:b/>
                          <w:bCs/>
                        </w:rPr>
                        <w:t>Bij een klachtenprocedure zal de huisarts deze argumentatie wel moeten kunnen uiteenzetten.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Analyse</w:t>
      </w:r>
      <w:r w:rsidR="001F7B62">
        <w:rPr>
          <w:b/>
          <w:bCs/>
        </w:rPr>
        <w:t xml:space="preserve"> 2023_G043</w:t>
      </w:r>
    </w:p>
    <w:p w14:paraId="28204F60" w14:textId="039589A4" w:rsidR="003D45A9" w:rsidRDefault="003D45A9" w:rsidP="000F485C">
      <w:pPr>
        <w:spacing w:line="240" w:lineRule="auto"/>
        <w:contextualSpacing/>
        <w:rPr>
          <w:b/>
          <w:bCs/>
        </w:rPr>
      </w:pPr>
    </w:p>
    <w:p w14:paraId="691EDD5C" w14:textId="5B845DB6" w:rsidR="00C5206F" w:rsidRPr="000738F6" w:rsidRDefault="000738F6" w:rsidP="000F485C">
      <w:pPr>
        <w:spacing w:line="240" w:lineRule="auto"/>
        <w:contextualSpacing/>
        <w:rPr>
          <w:b/>
          <w:bCs/>
        </w:rPr>
      </w:pPr>
      <w:r w:rsidRPr="000738F6">
        <w:rPr>
          <w:b/>
          <w:bCs/>
        </w:rPr>
        <w:t>De feiten</w:t>
      </w:r>
    </w:p>
    <w:p w14:paraId="0989FEFC" w14:textId="2317D69A" w:rsidR="000F485C" w:rsidRDefault="00D04199" w:rsidP="000F485C">
      <w:pPr>
        <w:spacing w:line="240" w:lineRule="auto"/>
        <w:contextualSpacing/>
      </w:pPr>
      <w:r>
        <w:t>Klager heeft beklaagde huisarts gevraagd om een deel van zijn medisch dossier te vernietigen. De huisarts heeft aan dit verzoek geen gehoor gege</w:t>
      </w:r>
      <w:r w:rsidR="00792E64">
        <w:t>ven. Daarnaast heeft de huisarts voor klager een verwijsbrief gemaakt</w:t>
      </w:r>
      <w:r w:rsidR="005863B7">
        <w:t xml:space="preserve"> voor de orthopeed waarin een aantal zaken staan die klager uit de verwijsbrief verwijderd zou willen hebben.</w:t>
      </w:r>
    </w:p>
    <w:p w14:paraId="0AACC205" w14:textId="77777777" w:rsidR="00CE0571" w:rsidRDefault="00CE0571" w:rsidP="000F485C">
      <w:pPr>
        <w:spacing w:line="240" w:lineRule="auto"/>
        <w:contextualSpacing/>
      </w:pPr>
    </w:p>
    <w:p w14:paraId="0A33CEB8" w14:textId="77777777" w:rsidR="00713D7B" w:rsidRDefault="000738F6" w:rsidP="000F485C">
      <w:pPr>
        <w:spacing w:line="240" w:lineRule="auto"/>
        <w:contextualSpacing/>
        <w:rPr>
          <w:b/>
          <w:bCs/>
        </w:rPr>
      </w:pPr>
      <w:r w:rsidRPr="0070122C">
        <w:rPr>
          <w:b/>
          <w:bCs/>
        </w:rPr>
        <w:t>Klacht</w:t>
      </w:r>
    </w:p>
    <w:p w14:paraId="688D9430" w14:textId="3DFAC324" w:rsidR="00713D7B" w:rsidRDefault="00DA2832" w:rsidP="000F485C">
      <w:pPr>
        <w:spacing w:line="240" w:lineRule="auto"/>
        <w:contextualSpacing/>
      </w:pPr>
      <w:r>
        <w:t>Klager verwijt de huisarts het volgende:</w:t>
      </w:r>
    </w:p>
    <w:p w14:paraId="6C18A9FC" w14:textId="62565FE1" w:rsidR="00DA2832" w:rsidRDefault="00806022" w:rsidP="00DA2832">
      <w:pPr>
        <w:pStyle w:val="Lijstalinea"/>
        <w:numPr>
          <w:ilvl w:val="0"/>
          <w:numId w:val="4"/>
        </w:numPr>
        <w:spacing w:line="240" w:lineRule="auto"/>
      </w:pPr>
      <w:r>
        <w:t>Zij heeft zijn verzoek om vernietiging van een deel van het medisch dossier geweigerd</w:t>
      </w:r>
      <w:r w:rsidR="00B7020C">
        <w:t xml:space="preserve">. </w:t>
      </w:r>
      <w:r w:rsidR="00C61043">
        <w:t xml:space="preserve">Het betreft </w:t>
      </w:r>
      <w:r w:rsidR="00A354F3">
        <w:t>gegevens</w:t>
      </w:r>
      <w:r w:rsidR="00C61043">
        <w:t xml:space="preserve"> uit een periode waarin</w:t>
      </w:r>
      <w:r w:rsidR="00A354F3">
        <w:t xml:space="preserve"> het minder goed met klager ging.</w:t>
      </w:r>
    </w:p>
    <w:p w14:paraId="06FA75E4" w14:textId="4F8C05DE" w:rsidR="00B7020C" w:rsidRDefault="00B7020C" w:rsidP="00DA2832">
      <w:pPr>
        <w:pStyle w:val="Lijstalinea"/>
        <w:numPr>
          <w:ilvl w:val="0"/>
          <w:numId w:val="4"/>
        </w:numPr>
        <w:spacing w:line="240" w:lineRule="auto"/>
      </w:pPr>
      <w:r>
        <w:t xml:space="preserve">Zij heeft in </w:t>
      </w:r>
      <w:r w:rsidR="006410DF">
        <w:t xml:space="preserve">de </w:t>
      </w:r>
      <w:r>
        <w:t xml:space="preserve">verwijsbrief naar de orthopeed </w:t>
      </w:r>
      <w:r w:rsidR="00120744">
        <w:t>de volgende, volgens klager niet ter zake doende informatie genoteerd:</w:t>
      </w:r>
    </w:p>
    <w:p w14:paraId="24067EBF" w14:textId="4A49E9D0" w:rsidR="00120744" w:rsidRDefault="00120744" w:rsidP="00120744">
      <w:pPr>
        <w:pStyle w:val="Lijstalinea"/>
        <w:numPr>
          <w:ilvl w:val="1"/>
          <w:numId w:val="4"/>
        </w:numPr>
        <w:spacing w:line="240" w:lineRule="auto"/>
      </w:pPr>
      <w:r>
        <w:t>‘Spanning rondom aanschaf nieuwe auto’</w:t>
      </w:r>
    </w:p>
    <w:p w14:paraId="1B6C3BBA" w14:textId="03114CAA" w:rsidR="00120744" w:rsidRDefault="00120744" w:rsidP="00120744">
      <w:pPr>
        <w:pStyle w:val="Lijstalinea"/>
        <w:numPr>
          <w:ilvl w:val="1"/>
          <w:numId w:val="4"/>
        </w:numPr>
        <w:spacing w:line="240" w:lineRule="auto"/>
      </w:pPr>
      <w:r>
        <w:t xml:space="preserve">‘Risicovol </w:t>
      </w:r>
      <w:proofErr w:type="spellStart"/>
      <w:r>
        <w:t>leefgedrag</w:t>
      </w:r>
      <w:proofErr w:type="spellEnd"/>
      <w:r>
        <w:t xml:space="preserve"> </w:t>
      </w:r>
      <w:proofErr w:type="spellStart"/>
      <w:r>
        <w:t>nvt</w:t>
      </w:r>
      <w:proofErr w:type="spellEnd"/>
      <w:r>
        <w:t>’</w:t>
      </w:r>
    </w:p>
    <w:p w14:paraId="06863B21" w14:textId="2752DE39" w:rsidR="00120744" w:rsidRDefault="00120744" w:rsidP="00120744">
      <w:pPr>
        <w:pStyle w:val="Lijstalinea"/>
        <w:numPr>
          <w:ilvl w:val="1"/>
          <w:numId w:val="4"/>
        </w:numPr>
        <w:spacing w:line="240" w:lineRule="auto"/>
      </w:pPr>
      <w:r>
        <w:t>‘Familieanamnese alleenstaand’</w:t>
      </w:r>
    </w:p>
    <w:p w14:paraId="4D0921CD" w14:textId="3EDF30F7" w:rsidR="00120744" w:rsidRDefault="00E06238" w:rsidP="00120744">
      <w:pPr>
        <w:pStyle w:val="Lijstalinea"/>
        <w:numPr>
          <w:ilvl w:val="1"/>
          <w:numId w:val="4"/>
        </w:numPr>
        <w:spacing w:line="240" w:lineRule="auto"/>
      </w:pPr>
      <w:r>
        <w:t>‘Psychosociale anamnese taxi’</w:t>
      </w:r>
    </w:p>
    <w:p w14:paraId="1D3179CB" w14:textId="025391D7" w:rsidR="000738F6" w:rsidRDefault="00713D7B" w:rsidP="000F485C">
      <w:pPr>
        <w:spacing w:line="240" w:lineRule="auto"/>
        <w:contextualSpacing/>
        <w:rPr>
          <w:b/>
          <w:bCs/>
        </w:rPr>
      </w:pPr>
      <w:r>
        <w:rPr>
          <w:b/>
          <w:bCs/>
        </w:rPr>
        <w:t>V</w:t>
      </w:r>
      <w:r w:rsidR="008F3B9C">
        <w:rPr>
          <w:b/>
          <w:bCs/>
        </w:rPr>
        <w:t>erweer</w:t>
      </w:r>
    </w:p>
    <w:p w14:paraId="13DD39D0" w14:textId="027E1AC6" w:rsidR="008F3B9C" w:rsidRDefault="00E06238" w:rsidP="000F485C">
      <w:pPr>
        <w:spacing w:line="240" w:lineRule="auto"/>
        <w:contextualSpacing/>
      </w:pPr>
      <w:r>
        <w:t>Het verweer van beklaagde huisarts heeft als volgt geluid:</w:t>
      </w:r>
    </w:p>
    <w:p w14:paraId="34E11636" w14:textId="56D27818" w:rsidR="00E06238" w:rsidRDefault="00177746" w:rsidP="00177746">
      <w:pPr>
        <w:pStyle w:val="Lijstalinea"/>
        <w:numPr>
          <w:ilvl w:val="0"/>
          <w:numId w:val="5"/>
        </w:numPr>
        <w:spacing w:line="240" w:lineRule="auto"/>
      </w:pPr>
      <w:r>
        <w:t xml:space="preserve">Zij heeft zich beroepen op een van de weigeringsgronden voor het vernietigen van (een deel van) het dossier uit de </w:t>
      </w:r>
      <w:proofErr w:type="gramStart"/>
      <w:r>
        <w:t>KNMG richtlijn</w:t>
      </w:r>
      <w:proofErr w:type="gramEnd"/>
      <w:r>
        <w:t xml:space="preserve"> ‘omgaan met medische gegevens’, namelijk </w:t>
      </w:r>
      <w:r w:rsidR="00116548">
        <w:t xml:space="preserve">goed </w:t>
      </w:r>
      <w:proofErr w:type="spellStart"/>
      <w:r w:rsidR="00116548">
        <w:t>hulpverlenerschap</w:t>
      </w:r>
      <w:proofErr w:type="spellEnd"/>
      <w:r w:rsidR="00116548">
        <w:t>. Door vernietiging van een deel van het medisch dossier van klager zou zij geen goede zorg meer kunnen verlenen aan klager.</w:t>
      </w:r>
      <w:r w:rsidR="00803F0A">
        <w:t xml:space="preserve"> Zij heeft klager te kennen gegeven slechts de gegevens te willen verwijderen als klager op zoek zou gaan naar een nieuwe huisarts.</w:t>
      </w:r>
    </w:p>
    <w:p w14:paraId="2A0C0189" w14:textId="69FD17F5" w:rsidR="00E06238" w:rsidRPr="008F3B9C" w:rsidRDefault="00A712EB" w:rsidP="000F485C">
      <w:pPr>
        <w:pStyle w:val="Lijstalinea"/>
        <w:numPr>
          <w:ilvl w:val="0"/>
          <w:numId w:val="5"/>
        </w:numPr>
        <w:spacing w:line="240" w:lineRule="auto"/>
      </w:pPr>
      <w:r>
        <w:t xml:space="preserve">Zij heeft de genoemde informatie bewust in de verwijsbrief opgenomen omdat het voor de gezondheid van klager belangrijk is dat een specialist weet wat </w:t>
      </w:r>
      <w:r w:rsidR="002C3813">
        <w:t xml:space="preserve">het beroep van klager is, of er sprake is van risicovol </w:t>
      </w:r>
      <w:proofErr w:type="spellStart"/>
      <w:r w:rsidR="002C3813">
        <w:t>leefgedrag</w:t>
      </w:r>
      <w:proofErr w:type="spellEnd"/>
      <w:r w:rsidR="002C3813">
        <w:t xml:space="preserve"> en </w:t>
      </w:r>
      <w:r w:rsidR="007A6CB0">
        <w:t>of klager alleenstaand is. Zij erkent dat de informatie ‘spanningen rondom aanschaf nieuwe auto’ niet zo relevant was.</w:t>
      </w:r>
    </w:p>
    <w:p w14:paraId="371BDB9A" w14:textId="34E309B7" w:rsidR="000738F6" w:rsidRDefault="000738F6" w:rsidP="000F485C">
      <w:pPr>
        <w:spacing w:line="240" w:lineRule="auto"/>
        <w:contextualSpacing/>
        <w:rPr>
          <w:b/>
          <w:bCs/>
        </w:rPr>
      </w:pPr>
      <w:r w:rsidRPr="00327E54">
        <w:rPr>
          <w:b/>
          <w:bCs/>
        </w:rPr>
        <w:lastRenderedPageBreak/>
        <w:t>Beoordeling</w:t>
      </w:r>
      <w:r w:rsidR="00C75AAA">
        <w:rPr>
          <w:b/>
          <w:bCs/>
        </w:rPr>
        <w:t xml:space="preserve"> </w:t>
      </w:r>
    </w:p>
    <w:p w14:paraId="73689811" w14:textId="56B8C5A9" w:rsidR="008F3B9C" w:rsidRDefault="00D12565" w:rsidP="0043363B">
      <w:pPr>
        <w:pStyle w:val="Lijstalinea"/>
        <w:numPr>
          <w:ilvl w:val="0"/>
          <w:numId w:val="6"/>
        </w:numPr>
        <w:spacing w:line="240" w:lineRule="auto"/>
      </w:pPr>
      <w:r>
        <w:t>Een hulpverlener is bij wet verplicht om gegevens uit het medisch dossier te vernietigen</w:t>
      </w:r>
      <w:r w:rsidR="00A41A67">
        <w:t xml:space="preserve"> als een patiënt daarom verzoekt</w:t>
      </w:r>
      <w:r w:rsidR="00286197">
        <w:t xml:space="preserve">. Dit vernietigingsrecht is echter niet absoluut; de hulpverlener kan zich beroepen op een van de vier weigeringsgronden. </w:t>
      </w:r>
      <w:r w:rsidR="00273CD9">
        <w:t xml:space="preserve">De vraag wanneer vernietiging een goed </w:t>
      </w:r>
      <w:proofErr w:type="spellStart"/>
      <w:r w:rsidR="00273CD9">
        <w:t>hulpverlenerschap</w:t>
      </w:r>
      <w:proofErr w:type="spellEnd"/>
      <w:r w:rsidR="00273CD9">
        <w:t xml:space="preserve"> belemmert, zal niet door iedere arts hetzelfde beantwoord worden; de arts heeft hierin een zekere mate van beoordelingsvrijheid. </w:t>
      </w:r>
      <w:r w:rsidR="00706645">
        <w:t xml:space="preserve">Beklaagde heeft ter zitting voldoende gemotiveerd waarom het strijdig zou zijn met goed </w:t>
      </w:r>
      <w:proofErr w:type="spellStart"/>
      <w:r w:rsidR="00706645">
        <w:t>hulpverlenerschap</w:t>
      </w:r>
      <w:proofErr w:type="spellEnd"/>
      <w:r w:rsidR="00706645">
        <w:t xml:space="preserve"> wanneer zij de gevraagde passage uit het dossier zou vernietigen. </w:t>
      </w:r>
      <w:r w:rsidR="0043363B">
        <w:t xml:space="preserve">De </w:t>
      </w:r>
      <w:proofErr w:type="spellStart"/>
      <w:r w:rsidR="0043363B">
        <w:t>geschilleninstantie</w:t>
      </w:r>
      <w:proofErr w:type="spellEnd"/>
      <w:r w:rsidR="0043363B">
        <w:t xml:space="preserve"> verklaart de klacht op dit onderdeel ongegrond.</w:t>
      </w:r>
    </w:p>
    <w:p w14:paraId="1BCAD996" w14:textId="6B2A2005" w:rsidR="00D12565" w:rsidRPr="008F3B9C" w:rsidRDefault="00FD6A55" w:rsidP="000F485C">
      <w:pPr>
        <w:pStyle w:val="Lijstalinea"/>
        <w:numPr>
          <w:ilvl w:val="0"/>
          <w:numId w:val="6"/>
        </w:numPr>
        <w:spacing w:line="240" w:lineRule="auto"/>
      </w:pPr>
      <w:r>
        <w:t xml:space="preserve">Ten aanzien van de verwijsbrief heeft beklaagde ter zitting voldoende kunnen onderbouwen waarom gegevens over </w:t>
      </w:r>
      <w:proofErr w:type="spellStart"/>
      <w:r>
        <w:t>leefgedrag</w:t>
      </w:r>
      <w:proofErr w:type="spellEnd"/>
      <w:r>
        <w:t xml:space="preserve">, burgerlijke staat en beroep </w:t>
      </w:r>
      <w:r w:rsidR="00E301C9">
        <w:t xml:space="preserve">een plaats verdienden in de verwijsbrief. Niet relevant voor de verwijzing acht de </w:t>
      </w:r>
      <w:proofErr w:type="spellStart"/>
      <w:r w:rsidR="00E301C9">
        <w:t>geschilleninstantie</w:t>
      </w:r>
      <w:proofErr w:type="spellEnd"/>
      <w:r w:rsidR="00E301C9">
        <w:t xml:space="preserve"> de informatie over spanningen rond de aanschaf van een nieuwe auto.</w:t>
      </w:r>
    </w:p>
    <w:p w14:paraId="3123D053" w14:textId="100F6680" w:rsidR="000738F6" w:rsidRPr="00276292" w:rsidRDefault="000738F6" w:rsidP="000F485C">
      <w:pPr>
        <w:spacing w:line="240" w:lineRule="auto"/>
        <w:contextualSpacing/>
        <w:rPr>
          <w:b/>
          <w:bCs/>
        </w:rPr>
      </w:pPr>
      <w:r w:rsidRPr="00276292">
        <w:rPr>
          <w:b/>
          <w:bCs/>
        </w:rPr>
        <w:t>Beslissing</w:t>
      </w:r>
    </w:p>
    <w:p w14:paraId="5D1FBF35" w14:textId="0B116329" w:rsidR="0090198A" w:rsidRDefault="00366490" w:rsidP="000F485C">
      <w:pPr>
        <w:spacing w:line="240" w:lineRule="auto"/>
        <w:contextualSpacing/>
      </w:pPr>
      <w:r>
        <w:t xml:space="preserve">De </w:t>
      </w:r>
      <w:proofErr w:type="spellStart"/>
      <w:r>
        <w:t>geschilleninstantie</w:t>
      </w:r>
      <w:proofErr w:type="spellEnd"/>
      <w:r>
        <w:t xml:space="preserve"> oordeelt dat de klacht over de weigering om medische gegevens te ver</w:t>
      </w:r>
      <w:r w:rsidR="007E2155">
        <w:t>nietigen</w:t>
      </w:r>
      <w:r>
        <w:t xml:space="preserve"> ongegrond is. De klacht over de verwijsbrief is deels gegrond</w:t>
      </w:r>
      <w:r w:rsidR="007D7CDA">
        <w:t xml:space="preserve">. Beklaagde dient daarom aan klager het griffiebedrag à </w:t>
      </w:r>
      <w:r w:rsidR="007E2155">
        <w:t>€50,- te vergoeden.</w:t>
      </w:r>
    </w:p>
    <w:p w14:paraId="28C80F84" w14:textId="77777777" w:rsidR="007E2155" w:rsidRDefault="007E2155" w:rsidP="000F485C">
      <w:pPr>
        <w:spacing w:line="240" w:lineRule="auto"/>
        <w:contextualSpacing/>
      </w:pPr>
    </w:p>
    <w:p w14:paraId="32107B19" w14:textId="7413067E" w:rsidR="007E2155" w:rsidRDefault="007E2155" w:rsidP="000F485C">
      <w:pPr>
        <w:spacing w:line="240" w:lineRule="auto"/>
        <w:contextualSpacing/>
      </w:pPr>
      <w:r>
        <w:t xml:space="preserve">De </w:t>
      </w:r>
      <w:proofErr w:type="spellStart"/>
      <w:r>
        <w:t>geschilleninstantie</w:t>
      </w:r>
      <w:proofErr w:type="spellEnd"/>
      <w:r>
        <w:t xml:space="preserve"> doet verder de volgende aanbevelingen:</w:t>
      </w:r>
    </w:p>
    <w:p w14:paraId="56AADCAC" w14:textId="5D4EF4FE" w:rsidR="007E2155" w:rsidRDefault="008A79BC" w:rsidP="007E2155">
      <w:pPr>
        <w:pStyle w:val="Lijstalinea"/>
        <w:numPr>
          <w:ilvl w:val="0"/>
          <w:numId w:val="7"/>
        </w:numPr>
        <w:spacing w:line="240" w:lineRule="auto"/>
      </w:pPr>
      <w:r>
        <w:t xml:space="preserve">Het vertrouwen tussen klager en beklaagde is wederzijds dermate beschadigd dat zij beiden de conclusie hebben getrokken dat het beter is om de arts-patiënt relatie te beëindigen. </w:t>
      </w:r>
      <w:r w:rsidR="00723049">
        <w:t>De overstap naar een nieuwe huisarts geeft klager de mogelijkheid een nieuwe start te maken en afspraken te maken over zijn medisch dossier.</w:t>
      </w:r>
    </w:p>
    <w:p w14:paraId="27E03881" w14:textId="047C3DF1" w:rsidR="00723049" w:rsidRDefault="00C73AEE" w:rsidP="007E2155">
      <w:pPr>
        <w:pStyle w:val="Lijstalinea"/>
        <w:numPr>
          <w:ilvl w:val="0"/>
          <w:numId w:val="7"/>
        </w:numPr>
        <w:spacing w:line="240" w:lineRule="auto"/>
      </w:pPr>
      <w:r>
        <w:t xml:space="preserve">Ten aanzien van de verwijsbrief adviseert de </w:t>
      </w:r>
      <w:proofErr w:type="spellStart"/>
      <w:r>
        <w:t>geschilleninstantie</w:t>
      </w:r>
      <w:proofErr w:type="spellEnd"/>
      <w:r>
        <w:t xml:space="preserve"> beklaagde om een nieuwe verwijsbrief te maken, aangezien klager veel klachten heeft van zijn voet.</w:t>
      </w:r>
    </w:p>
    <w:sectPr w:rsidR="0072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1B4A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665A19"/>
    <w:multiLevelType w:val="hybridMultilevel"/>
    <w:tmpl w:val="5112A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44B81"/>
    <w:multiLevelType w:val="hybridMultilevel"/>
    <w:tmpl w:val="D65C1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91834"/>
    <w:multiLevelType w:val="hybridMultilevel"/>
    <w:tmpl w:val="0B6468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41FD"/>
    <w:multiLevelType w:val="hybridMultilevel"/>
    <w:tmpl w:val="9FBEA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9711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D6D79CF"/>
    <w:multiLevelType w:val="hybridMultilevel"/>
    <w:tmpl w:val="968CFB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949"/>
    <w:multiLevelType w:val="hybridMultilevel"/>
    <w:tmpl w:val="BAC4A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128B4"/>
    <w:multiLevelType w:val="hybridMultilevel"/>
    <w:tmpl w:val="9BD6E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06C1B"/>
    <w:multiLevelType w:val="hybridMultilevel"/>
    <w:tmpl w:val="09EAB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500A9"/>
    <w:multiLevelType w:val="hybridMultilevel"/>
    <w:tmpl w:val="25CED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06681">
    <w:abstractNumId w:val="8"/>
  </w:num>
  <w:num w:numId="2" w16cid:durableId="1745449745">
    <w:abstractNumId w:val="4"/>
  </w:num>
  <w:num w:numId="3" w16cid:durableId="1266304181">
    <w:abstractNumId w:val="2"/>
  </w:num>
  <w:num w:numId="4" w16cid:durableId="95488709">
    <w:abstractNumId w:val="7"/>
  </w:num>
  <w:num w:numId="5" w16cid:durableId="461272965">
    <w:abstractNumId w:val="9"/>
  </w:num>
  <w:num w:numId="6" w16cid:durableId="1561480576">
    <w:abstractNumId w:val="10"/>
  </w:num>
  <w:num w:numId="7" w16cid:durableId="56362941">
    <w:abstractNumId w:val="1"/>
  </w:num>
  <w:num w:numId="8" w16cid:durableId="1178425831">
    <w:abstractNumId w:val="6"/>
  </w:num>
  <w:num w:numId="9" w16cid:durableId="1628580825">
    <w:abstractNumId w:val="0"/>
  </w:num>
  <w:num w:numId="10" w16cid:durableId="1600944482">
    <w:abstractNumId w:val="5"/>
  </w:num>
  <w:num w:numId="11" w16cid:durableId="447897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F6"/>
    <w:rsid w:val="000738F6"/>
    <w:rsid w:val="000F485C"/>
    <w:rsid w:val="001070A6"/>
    <w:rsid w:val="00116548"/>
    <w:rsid w:val="00120744"/>
    <w:rsid w:val="00177746"/>
    <w:rsid w:val="001969BD"/>
    <w:rsid w:val="001C54E6"/>
    <w:rsid w:val="001F7B62"/>
    <w:rsid w:val="00227E13"/>
    <w:rsid w:val="00256E4A"/>
    <w:rsid w:val="00273CD9"/>
    <w:rsid w:val="00276292"/>
    <w:rsid w:val="00286197"/>
    <w:rsid w:val="00286A7E"/>
    <w:rsid w:val="002C3813"/>
    <w:rsid w:val="002D241F"/>
    <w:rsid w:val="002F68F1"/>
    <w:rsid w:val="00327E54"/>
    <w:rsid w:val="00351708"/>
    <w:rsid w:val="00366490"/>
    <w:rsid w:val="003D45A9"/>
    <w:rsid w:val="003F15EC"/>
    <w:rsid w:val="003F16A0"/>
    <w:rsid w:val="0043363B"/>
    <w:rsid w:val="004B5CEB"/>
    <w:rsid w:val="0051462D"/>
    <w:rsid w:val="00547339"/>
    <w:rsid w:val="00554BD8"/>
    <w:rsid w:val="005863B7"/>
    <w:rsid w:val="005C02D0"/>
    <w:rsid w:val="006410DF"/>
    <w:rsid w:val="006618FE"/>
    <w:rsid w:val="006712AC"/>
    <w:rsid w:val="006E2B68"/>
    <w:rsid w:val="0070122C"/>
    <w:rsid w:val="00706645"/>
    <w:rsid w:val="00713D7B"/>
    <w:rsid w:val="00723049"/>
    <w:rsid w:val="007433D5"/>
    <w:rsid w:val="007506B5"/>
    <w:rsid w:val="00792E64"/>
    <w:rsid w:val="007A6CB0"/>
    <w:rsid w:val="007D7CDA"/>
    <w:rsid w:val="007E2155"/>
    <w:rsid w:val="007E355A"/>
    <w:rsid w:val="00803F0A"/>
    <w:rsid w:val="00806022"/>
    <w:rsid w:val="008208EB"/>
    <w:rsid w:val="00821A02"/>
    <w:rsid w:val="00854B85"/>
    <w:rsid w:val="00863576"/>
    <w:rsid w:val="008A79BC"/>
    <w:rsid w:val="008C558D"/>
    <w:rsid w:val="008F3B9C"/>
    <w:rsid w:val="008F799E"/>
    <w:rsid w:val="0090198A"/>
    <w:rsid w:val="009134EA"/>
    <w:rsid w:val="00A01C6E"/>
    <w:rsid w:val="00A354F3"/>
    <w:rsid w:val="00A41A67"/>
    <w:rsid w:val="00A43555"/>
    <w:rsid w:val="00A606F1"/>
    <w:rsid w:val="00A712EB"/>
    <w:rsid w:val="00AB4CD8"/>
    <w:rsid w:val="00AE6557"/>
    <w:rsid w:val="00AE7856"/>
    <w:rsid w:val="00B12422"/>
    <w:rsid w:val="00B7020C"/>
    <w:rsid w:val="00BD2DF2"/>
    <w:rsid w:val="00C00801"/>
    <w:rsid w:val="00C5206F"/>
    <w:rsid w:val="00C61043"/>
    <w:rsid w:val="00C73AEE"/>
    <w:rsid w:val="00C75AAA"/>
    <w:rsid w:val="00C951AA"/>
    <w:rsid w:val="00CE0571"/>
    <w:rsid w:val="00CE7267"/>
    <w:rsid w:val="00D04199"/>
    <w:rsid w:val="00D12565"/>
    <w:rsid w:val="00DA2832"/>
    <w:rsid w:val="00DD04A3"/>
    <w:rsid w:val="00DE7B99"/>
    <w:rsid w:val="00E06238"/>
    <w:rsid w:val="00E301C9"/>
    <w:rsid w:val="00E470B8"/>
    <w:rsid w:val="00EF7EA2"/>
    <w:rsid w:val="00F42FB5"/>
    <w:rsid w:val="00F9545A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519B"/>
  <w15:chartTrackingRefBased/>
  <w15:docId w15:val="{37FC9357-B652-4ACE-9857-14DAF7CF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786BDC1FD6B439F507772209F944A" ma:contentTypeVersion="18" ma:contentTypeDescription="Een nieuw document maken." ma:contentTypeScope="" ma:versionID="f0de076dd19bd5a9555bb4a44e455ea3">
  <xsd:schema xmlns:xsd="http://www.w3.org/2001/XMLSchema" xmlns:xs="http://www.w3.org/2001/XMLSchema" xmlns:p="http://schemas.microsoft.com/office/2006/metadata/properties" xmlns:ns2="62d8ba66-26ef-4759-abd8-7fb7aa9ab4ea" xmlns:ns3="65e42122-575c-4b0a-b38e-e163c1c4b572" targetNamespace="http://schemas.microsoft.com/office/2006/metadata/properties" ma:root="true" ma:fieldsID="7a3c6998f3c29fce966dea3d8e4e729a" ns2:_="" ns3:_="">
    <xsd:import namespace="62d8ba66-26ef-4759-abd8-7fb7aa9ab4ea"/>
    <xsd:import namespace="65e42122-575c-4b0a-b38e-e163c1c4b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ba66-26ef-4759-abd8-7fb7aa9ab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c2f045d-83b2-416b-a68b-5f28bb943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42122-575c-4b0a-b38e-e163c1c4b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2e047e-cbaa-47d4-a209-c366d3329fdf}" ma:internalName="TaxCatchAll" ma:showField="CatchAllData" ma:web="65e42122-575c-4b0a-b38e-e163c1c4b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e42122-575c-4b0a-b38e-e163c1c4b572" xsi:nil="true"/>
    <lcf76f155ced4ddcb4097134ff3c332f xmlns="62d8ba66-26ef-4759-abd8-7fb7aa9ab4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4F3E68-C7AC-4E8B-B13A-0FC61514806B}"/>
</file>

<file path=customXml/itemProps2.xml><?xml version="1.0" encoding="utf-8"?>
<ds:datastoreItem xmlns:ds="http://schemas.openxmlformats.org/officeDocument/2006/customXml" ds:itemID="{42564147-E1C2-4D2D-AD55-8520F3569ED8}"/>
</file>

<file path=customXml/itemProps3.xml><?xml version="1.0" encoding="utf-8"?>
<ds:datastoreItem xmlns:ds="http://schemas.openxmlformats.org/officeDocument/2006/customXml" ds:itemID="{B201D04A-B0DA-4986-A70C-AE1A0CFF0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533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Koehoorn | DOKh</dc:creator>
  <cp:keywords/>
  <dc:description/>
  <cp:lastModifiedBy>Femke Moerbeek | DOKh</cp:lastModifiedBy>
  <cp:revision>2</cp:revision>
  <dcterms:created xsi:type="dcterms:W3CDTF">2024-10-14T13:34:00Z</dcterms:created>
  <dcterms:modified xsi:type="dcterms:W3CDTF">2024-10-14T13:34:00Z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0x0101006EC786BDC1FD6B439F507772209F944A</vt:lpwstr>
  </property>
</Properties>
</file>